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0EA70" w14:textId="0D07528E" w:rsidR="00FD76A0" w:rsidRDefault="002B44E8">
      <w:pPr>
        <w:pStyle w:val="DocumentTitle"/>
        <w:spacing w:before="120" w:after="120" w:line="276" w:lineRule="auto"/>
        <w:rPr>
          <w:rFonts w:cs="Arial"/>
          <w:sz w:val="36"/>
          <w:szCs w:val="24"/>
        </w:rPr>
      </w:pPr>
      <w:r>
        <w:rPr>
          <w:rFonts w:cs="Arial"/>
          <w:sz w:val="36"/>
          <w:szCs w:val="24"/>
        </w:rPr>
        <w:t xml:space="preserve">GENDER EQUITY, </w:t>
      </w:r>
      <w:r w:rsidR="0026650D">
        <w:rPr>
          <w:rFonts w:cs="Arial"/>
          <w:sz w:val="36"/>
          <w:szCs w:val="24"/>
        </w:rPr>
        <w:t>EQUAL OPPORTUNITY &amp; ANTI-DISCRIMINATION POLICY</w:t>
      </w:r>
    </w:p>
    <w:p w14:paraId="526E9983" w14:textId="77777777" w:rsidR="00FD76A0" w:rsidRDefault="0026650D">
      <w:pPr>
        <w:pStyle w:val="Heading3"/>
        <w:spacing w:before="240" w:after="60"/>
        <w:rPr>
          <w:rFonts w:ascii="Arial" w:hAnsi="Arial" w:cs="Arial"/>
          <w:lang w:val="en-US"/>
        </w:rPr>
      </w:pPr>
      <w:r>
        <w:rPr>
          <w:rFonts w:ascii="Arial" w:hAnsi="Arial" w:cs="Arial"/>
          <w:lang w:val="en-US"/>
        </w:rPr>
        <w:t>PURPOSE</w:t>
      </w:r>
    </w:p>
    <w:p w14:paraId="780413B9" w14:textId="5F2CF633" w:rsidR="00FD76A0" w:rsidRDefault="0026650D">
      <w:pPr>
        <w:spacing w:before="120" w:after="120" w:line="276" w:lineRule="auto"/>
        <w:rPr>
          <w:rFonts w:ascii="Arial" w:hAnsi="Arial" w:cs="Arial"/>
        </w:rPr>
      </w:pPr>
      <w:r>
        <w:rPr>
          <w:rFonts w:ascii="Arial" w:hAnsi="Arial" w:cs="Arial"/>
        </w:rPr>
        <w:t>VCS Foundation Ltd., trading as the Australian Centre for the Prevention of Cervical Cancer (ACPCC), is committed to providing a safe, flexible and respectful working environment which is free from all forms of discrimination and sexual harassment</w:t>
      </w:r>
      <w:r w:rsidR="002B44E8">
        <w:rPr>
          <w:rFonts w:ascii="Arial" w:hAnsi="Arial" w:cs="Arial"/>
        </w:rPr>
        <w:t xml:space="preserve"> and is committed to promoting gender equity through better health in Australia and internationally</w:t>
      </w:r>
      <w:r>
        <w:rPr>
          <w:rFonts w:ascii="Arial" w:hAnsi="Arial" w:cs="Arial"/>
        </w:rPr>
        <w:t>.</w:t>
      </w:r>
    </w:p>
    <w:p w14:paraId="4F7597F1" w14:textId="77777777" w:rsidR="00FD76A0" w:rsidRDefault="0026650D">
      <w:pPr>
        <w:spacing w:before="120" w:after="120" w:line="276" w:lineRule="auto"/>
        <w:rPr>
          <w:rFonts w:ascii="Arial" w:hAnsi="Arial" w:cs="Arial"/>
        </w:rPr>
      </w:pPr>
      <w:r>
        <w:rPr>
          <w:rFonts w:ascii="Arial" w:hAnsi="Arial" w:cs="Arial"/>
        </w:rPr>
        <w:t xml:space="preserve">The purpose of this Policy is to: </w:t>
      </w:r>
    </w:p>
    <w:p w14:paraId="6D52DC94" w14:textId="665D949F" w:rsidR="00FD76A0" w:rsidRDefault="0026650D">
      <w:pPr>
        <w:pStyle w:val="ListParagraph"/>
        <w:tabs>
          <w:tab w:val="clear" w:pos="360"/>
          <w:tab w:val="num" w:pos="426"/>
        </w:tabs>
        <w:ind w:left="426" w:hanging="426"/>
        <w:jc w:val="left"/>
      </w:pPr>
      <w:r>
        <w:t xml:space="preserve">promote and maintain a working environment that is free from all forms of discrimination, harassment (including sexual harassment) and victimisation, </w:t>
      </w:r>
    </w:p>
    <w:p w14:paraId="1EE5066A" w14:textId="73243ABB" w:rsidR="00FD76A0" w:rsidRDefault="0026650D">
      <w:pPr>
        <w:pStyle w:val="ListParagraph"/>
        <w:tabs>
          <w:tab w:val="clear" w:pos="360"/>
          <w:tab w:val="num" w:pos="426"/>
        </w:tabs>
        <w:ind w:left="426" w:hanging="426"/>
        <w:jc w:val="left"/>
      </w:pPr>
      <w:r>
        <w:t>ensure that Employees are conducting themselves in an appropriate manner consistent with the ACPCC’s values and Code of Conduct,</w:t>
      </w:r>
    </w:p>
    <w:p w14:paraId="1B47B594" w14:textId="77777777" w:rsidR="002B44E8" w:rsidRDefault="0026650D" w:rsidP="002B44E8">
      <w:pPr>
        <w:pStyle w:val="ListParagraph"/>
        <w:tabs>
          <w:tab w:val="clear" w:pos="360"/>
          <w:tab w:val="num" w:pos="426"/>
        </w:tabs>
        <w:ind w:left="426" w:hanging="426"/>
        <w:jc w:val="left"/>
      </w:pPr>
      <w:r>
        <w:t>ensure the ACPCC complies with Federal and State legislation relating to Equal Opportunity (EO)</w:t>
      </w:r>
      <w:r w:rsidR="002B44E8">
        <w:t xml:space="preserve"> and</w:t>
      </w:r>
    </w:p>
    <w:p w14:paraId="0625D2E0" w14:textId="3B684DCB" w:rsidR="00FD76A0" w:rsidRPr="002B44E8" w:rsidRDefault="005E592C" w:rsidP="002B44E8">
      <w:pPr>
        <w:spacing w:before="120" w:after="120" w:line="276" w:lineRule="auto"/>
        <w:rPr>
          <w:rFonts w:ascii="Arial" w:hAnsi="Arial" w:cs="Arial"/>
        </w:rPr>
      </w:pPr>
      <w:r w:rsidRPr="006364F4">
        <w:rPr>
          <w:rFonts w:ascii="Arial" w:hAnsi="Arial" w:cs="Arial"/>
        </w:rPr>
        <w:t>ensure the ACPCC completes the annual Workplace Gender Equality Agency reporting and complies with the Wor</w:t>
      </w:r>
      <w:r w:rsidR="00BA2DA1">
        <w:rPr>
          <w:rFonts w:ascii="Arial" w:hAnsi="Arial" w:cs="Arial"/>
        </w:rPr>
        <w:t>k</w:t>
      </w:r>
      <w:r w:rsidRPr="006364F4">
        <w:rPr>
          <w:rFonts w:ascii="Arial" w:hAnsi="Arial" w:cs="Arial"/>
        </w:rPr>
        <w:t>place Gender Equality Act 2012.</w:t>
      </w:r>
      <w:r w:rsidR="0026650D" w:rsidRPr="002B44E8">
        <w:rPr>
          <w:rFonts w:ascii="Arial" w:hAnsi="Arial" w:cs="Arial"/>
        </w:rPr>
        <w:t>By effectively implementing this Policy, the ACPCC will attract and retain talented staff and create a positive working environment for all Employees.</w:t>
      </w:r>
      <w:r>
        <w:rPr>
          <w:rFonts w:ascii="Arial" w:hAnsi="Arial" w:cs="Arial"/>
        </w:rPr>
        <w:t xml:space="preserve">  We acknowledge that gender inequity is harmful to the physical, mental, emotional and economic health and wellbeing of women, men and people of diverse gender identity or expression. </w:t>
      </w:r>
    </w:p>
    <w:p w14:paraId="74178C4D" w14:textId="77777777" w:rsidR="00FD76A0" w:rsidRDefault="0026650D">
      <w:pPr>
        <w:pStyle w:val="Heading3"/>
        <w:spacing w:before="240" w:after="60"/>
        <w:rPr>
          <w:rFonts w:ascii="Arial" w:hAnsi="Arial" w:cs="Arial"/>
          <w:lang w:val="en-US"/>
        </w:rPr>
      </w:pPr>
      <w:r>
        <w:rPr>
          <w:rFonts w:ascii="Arial" w:hAnsi="Arial" w:cs="Arial"/>
          <w:lang w:val="en-US"/>
        </w:rPr>
        <w:t>SCOPE</w:t>
      </w:r>
    </w:p>
    <w:p w14:paraId="466E5744" w14:textId="41D29026" w:rsidR="00FD76A0" w:rsidRDefault="0026650D">
      <w:pPr>
        <w:spacing w:before="120" w:after="120" w:line="276" w:lineRule="auto"/>
        <w:rPr>
          <w:rFonts w:ascii="Arial" w:hAnsi="Arial" w:cs="Arial"/>
        </w:rPr>
      </w:pPr>
      <w:r>
        <w:rPr>
          <w:rFonts w:ascii="Arial" w:hAnsi="Arial" w:cs="Arial"/>
        </w:rPr>
        <w:t xml:space="preserve">This Policy applies to all ACPCC Employees, contractors, students, visitors and Board Directors. </w:t>
      </w:r>
    </w:p>
    <w:p w14:paraId="121697C2" w14:textId="0AB9A80A" w:rsidR="00FD76A0" w:rsidRDefault="0026650D">
      <w:pPr>
        <w:pStyle w:val="BodyText"/>
        <w:jc w:val="left"/>
        <w:rPr>
          <w:rFonts w:ascii="Arial" w:hAnsi="Arial" w:cs="Arial"/>
          <w:sz w:val="20"/>
        </w:rPr>
      </w:pPr>
      <w:r>
        <w:rPr>
          <w:rFonts w:ascii="Arial" w:hAnsi="Arial" w:cs="Arial"/>
          <w:sz w:val="20"/>
        </w:rPr>
        <w:t xml:space="preserve">This Policy does not form part of any Employee’s contract of employment and the ACPCC may amend it at any time. </w:t>
      </w:r>
    </w:p>
    <w:p w14:paraId="07C8AEF8" w14:textId="77777777" w:rsidR="00FD76A0" w:rsidRDefault="0026650D">
      <w:pPr>
        <w:spacing w:before="120" w:after="120" w:line="276" w:lineRule="auto"/>
        <w:rPr>
          <w:rFonts w:ascii="Arial" w:hAnsi="Arial" w:cs="Arial"/>
        </w:rPr>
      </w:pPr>
      <w:r>
        <w:rPr>
          <w:rFonts w:ascii="Arial" w:hAnsi="Arial" w:cs="Arial"/>
        </w:rPr>
        <w:t>The scope of this Policy covers the following:</w:t>
      </w:r>
    </w:p>
    <w:p w14:paraId="38ED0A21" w14:textId="13AFD2E2" w:rsidR="00FD76A0" w:rsidRDefault="0026650D">
      <w:pPr>
        <w:pStyle w:val="ListParagraph"/>
        <w:tabs>
          <w:tab w:val="clear" w:pos="360"/>
          <w:tab w:val="num" w:pos="426"/>
        </w:tabs>
        <w:ind w:left="426" w:hanging="426"/>
        <w:jc w:val="left"/>
      </w:pPr>
      <w:r>
        <w:t>How the ACPCC provides services to stakeholders and customers, and how it interacts with the community and members of the public. All aspects of employment including recruitment and selection, conditions and benefits, training and promotion, task allocation, shifts, hours, leave arrangements, workload, equipment and transport.</w:t>
      </w:r>
    </w:p>
    <w:p w14:paraId="78AA6A01" w14:textId="77777777" w:rsidR="00FD76A0" w:rsidRDefault="0026650D">
      <w:pPr>
        <w:pStyle w:val="ListParagraph"/>
        <w:tabs>
          <w:tab w:val="clear" w:pos="360"/>
          <w:tab w:val="num" w:pos="426"/>
        </w:tabs>
        <w:ind w:left="426" w:hanging="426"/>
        <w:jc w:val="left"/>
      </w:pPr>
      <w:r>
        <w:t xml:space="preserve">On-site, off-site or after-hours work, work-related social functions, conferences – wherever and whenever staff may be located </w:t>
      </w:r>
      <w:proofErr w:type="gramStart"/>
      <w:r>
        <w:t>as a result of</w:t>
      </w:r>
      <w:proofErr w:type="gramEnd"/>
      <w:r>
        <w:t xml:space="preserve"> their duties, for example work lunches, conferences, meetings, Christmas parties and stakeholder functions</w:t>
      </w:r>
    </w:p>
    <w:p w14:paraId="3CB19649" w14:textId="77777777" w:rsidR="00FD76A0" w:rsidRDefault="0026650D">
      <w:pPr>
        <w:pStyle w:val="ListParagraph"/>
        <w:tabs>
          <w:tab w:val="clear" w:pos="360"/>
          <w:tab w:val="num" w:pos="426"/>
        </w:tabs>
        <w:ind w:left="426" w:hanging="426"/>
        <w:jc w:val="left"/>
      </w:pPr>
      <w:r>
        <w:t>Staff treatment of other Employees, stakeholders and customers, and of other members of the public/community encountered in the course of their duties.</w:t>
      </w:r>
    </w:p>
    <w:p w14:paraId="03DF33FB" w14:textId="332F8FED" w:rsidR="00FD76A0" w:rsidRDefault="0026650D">
      <w:pPr>
        <w:pStyle w:val="ListParagraph"/>
        <w:tabs>
          <w:tab w:val="clear" w:pos="360"/>
          <w:tab w:val="num" w:pos="426"/>
        </w:tabs>
        <w:ind w:left="426" w:hanging="426"/>
        <w:jc w:val="left"/>
      </w:pPr>
      <w:r>
        <w:t xml:space="preserve">All communications and interactions inside and outside ordinary working hours connected with work, for example via phone, text or messenger apps and on social media. In this regard, a breach of this Policy whilst engaging on social media may also give rise to a Breach of the ACPCC </w:t>
      </w:r>
      <w:proofErr w:type="gramStart"/>
      <w:r>
        <w:t>Social Media Policy</w:t>
      </w:r>
      <w:proofErr w:type="gramEnd"/>
      <w:r>
        <w:t>.</w:t>
      </w:r>
    </w:p>
    <w:p w14:paraId="24D9E646" w14:textId="77777777" w:rsidR="00FD76A0" w:rsidRDefault="0026650D">
      <w:pPr>
        <w:pStyle w:val="Heading2"/>
        <w:spacing w:after="120" w:line="276" w:lineRule="auto"/>
        <w:rPr>
          <w:rFonts w:cs="Arial"/>
          <w:i w:val="0"/>
        </w:rPr>
      </w:pPr>
      <w:r>
        <w:rPr>
          <w:rFonts w:cs="Arial"/>
          <w:i w:val="0"/>
        </w:rPr>
        <w:t xml:space="preserve">DEFINITIONS  </w:t>
      </w: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7380"/>
      </w:tblGrid>
      <w:tr w:rsidR="0026650D" w14:paraId="3A34179D" w14:textId="77777777" w:rsidTr="4D588B91">
        <w:trPr>
          <w:trHeight w:val="1498"/>
        </w:trPr>
        <w:tc>
          <w:tcPr>
            <w:tcW w:w="1890" w:type="dxa"/>
            <w:vAlign w:val="center"/>
          </w:tcPr>
          <w:p w14:paraId="1EA4BC9A" w14:textId="55029E83" w:rsidR="0026650D" w:rsidRDefault="0026650D">
            <w:pPr>
              <w:spacing w:before="60" w:after="60" w:line="276" w:lineRule="auto"/>
              <w:rPr>
                <w:rFonts w:ascii="Arial" w:hAnsi="Arial" w:cs="Arial"/>
                <w:b/>
              </w:rPr>
            </w:pPr>
            <w:r>
              <w:rPr>
                <w:rFonts w:ascii="Arial" w:hAnsi="Arial" w:cs="Arial"/>
                <w:b/>
              </w:rPr>
              <w:t>ACPCC</w:t>
            </w:r>
          </w:p>
        </w:tc>
        <w:tc>
          <w:tcPr>
            <w:tcW w:w="7380" w:type="dxa"/>
            <w:vAlign w:val="center"/>
          </w:tcPr>
          <w:p w14:paraId="30E41CDD" w14:textId="3AF0DC90" w:rsidR="0026650D" w:rsidRDefault="0026650D">
            <w:pPr>
              <w:spacing w:before="60" w:after="60" w:line="276" w:lineRule="auto"/>
              <w:rPr>
                <w:rFonts w:ascii="Arial" w:hAnsi="Arial" w:cs="Arial"/>
              </w:rPr>
            </w:pPr>
            <w:r>
              <w:rPr>
                <w:rFonts w:ascii="Arial" w:hAnsi="Arial" w:cs="Arial"/>
              </w:rPr>
              <w:t>VCS Foundation Limited, trading as the Australian Centre for the Prevention of Cervical Cancer – a company limited by guarantee under the Corporations Act 2001 (</w:t>
            </w:r>
            <w:proofErr w:type="spellStart"/>
            <w:r>
              <w:rPr>
                <w:rFonts w:ascii="Arial" w:hAnsi="Arial" w:cs="Arial"/>
              </w:rPr>
              <w:t>Cth</w:t>
            </w:r>
            <w:proofErr w:type="spellEnd"/>
            <w:r>
              <w:rPr>
                <w:rFonts w:ascii="Arial" w:hAnsi="Arial" w:cs="Arial"/>
              </w:rPr>
              <w:t>), responsible for the management and administration of services and registry solutions under the pillars of VCS Pathology, Digital Health and Population Health.</w:t>
            </w:r>
          </w:p>
        </w:tc>
      </w:tr>
      <w:tr w:rsidR="00FD76A0" w14:paraId="0A166BA1" w14:textId="77777777" w:rsidTr="4D588B91">
        <w:trPr>
          <w:trHeight w:val="980"/>
        </w:trPr>
        <w:tc>
          <w:tcPr>
            <w:tcW w:w="1890" w:type="dxa"/>
            <w:vAlign w:val="center"/>
          </w:tcPr>
          <w:p w14:paraId="5663C6D9" w14:textId="77777777" w:rsidR="00FD76A0" w:rsidRDefault="0026650D">
            <w:pPr>
              <w:spacing w:before="60" w:after="60" w:line="276" w:lineRule="auto"/>
              <w:rPr>
                <w:rFonts w:ascii="Arial" w:hAnsi="Arial" w:cs="Arial"/>
                <w:b/>
              </w:rPr>
            </w:pPr>
            <w:r>
              <w:rPr>
                <w:rFonts w:ascii="Arial" w:hAnsi="Arial" w:cs="Arial"/>
                <w:b/>
              </w:rPr>
              <w:lastRenderedPageBreak/>
              <w:t>Contact Officer</w:t>
            </w:r>
          </w:p>
          <w:p w14:paraId="4CD04E3E" w14:textId="77777777" w:rsidR="00FD76A0" w:rsidRDefault="00FD76A0">
            <w:pPr>
              <w:rPr>
                <w:rFonts w:ascii="Arial" w:hAnsi="Arial" w:cs="Arial"/>
              </w:rPr>
            </w:pPr>
          </w:p>
        </w:tc>
        <w:tc>
          <w:tcPr>
            <w:tcW w:w="7380" w:type="dxa"/>
            <w:tcBorders>
              <w:bottom w:val="single" w:sz="4" w:space="0" w:color="auto"/>
            </w:tcBorders>
            <w:vAlign w:val="center"/>
          </w:tcPr>
          <w:p w14:paraId="6E569170" w14:textId="77777777" w:rsidR="00FD76A0" w:rsidRDefault="0026650D">
            <w:pPr>
              <w:spacing w:before="60" w:after="60" w:line="276" w:lineRule="auto"/>
              <w:rPr>
                <w:rFonts w:ascii="Arial" w:hAnsi="Arial" w:cs="Arial"/>
              </w:rPr>
            </w:pPr>
            <w:r>
              <w:rPr>
                <w:rFonts w:ascii="Arial" w:hAnsi="Arial" w:cs="Arial"/>
              </w:rPr>
              <w:t>Person specifically assigned and trained to provide advice and support to staff in circumstances where a breach of the EO Policy may have occurred.</w:t>
            </w:r>
          </w:p>
        </w:tc>
      </w:tr>
      <w:tr w:rsidR="00FD76A0" w14:paraId="6F1EA8B0" w14:textId="77777777" w:rsidTr="4D588B91">
        <w:trPr>
          <w:trHeight w:val="113"/>
        </w:trPr>
        <w:tc>
          <w:tcPr>
            <w:tcW w:w="1890" w:type="dxa"/>
            <w:tcBorders>
              <w:right w:val="nil"/>
            </w:tcBorders>
            <w:vAlign w:val="center"/>
          </w:tcPr>
          <w:p w14:paraId="192BAF5F" w14:textId="77777777" w:rsidR="00FD76A0" w:rsidRDefault="0026650D">
            <w:pPr>
              <w:spacing w:before="60" w:after="60" w:line="276" w:lineRule="auto"/>
              <w:rPr>
                <w:rFonts w:ascii="Arial" w:hAnsi="Arial" w:cs="Arial"/>
                <w:b/>
              </w:rPr>
            </w:pPr>
            <w:r>
              <w:rPr>
                <w:rFonts w:ascii="Arial" w:hAnsi="Arial" w:cs="Arial"/>
                <w:b/>
              </w:rPr>
              <w:t>Employee</w:t>
            </w:r>
          </w:p>
          <w:p w14:paraId="3BF3859C" w14:textId="77777777" w:rsidR="00FD76A0" w:rsidRDefault="00FD76A0">
            <w:pPr>
              <w:rPr>
                <w:rFonts w:ascii="Arial" w:hAnsi="Arial" w:cs="Arial"/>
              </w:rPr>
            </w:pPr>
          </w:p>
        </w:tc>
        <w:tc>
          <w:tcPr>
            <w:tcW w:w="7380" w:type="dxa"/>
            <w:tcBorders>
              <w:top w:val="single" w:sz="4" w:space="0" w:color="auto"/>
              <w:left w:val="single" w:sz="4" w:space="0" w:color="auto"/>
              <w:bottom w:val="nil"/>
              <w:right w:val="single" w:sz="4" w:space="0" w:color="auto"/>
            </w:tcBorders>
            <w:vAlign w:val="center"/>
          </w:tcPr>
          <w:p w14:paraId="0859910F" w14:textId="4D19B0DD" w:rsidR="00FD76A0" w:rsidRDefault="0026650D">
            <w:pPr>
              <w:spacing w:before="60" w:after="60" w:line="276" w:lineRule="auto"/>
              <w:rPr>
                <w:rFonts w:ascii="Arial" w:hAnsi="Arial" w:cs="Arial"/>
              </w:rPr>
            </w:pPr>
            <w:r>
              <w:rPr>
                <w:rFonts w:ascii="Arial" w:hAnsi="Arial" w:cs="Arial"/>
              </w:rPr>
              <w:t>Any person employed by the ACPCC whether on a permanent, temporary or casual basis.</w:t>
            </w:r>
          </w:p>
        </w:tc>
      </w:tr>
      <w:tr w:rsidR="00FD76A0" w14:paraId="5CF20AD2" w14:textId="77777777" w:rsidTr="4D588B91">
        <w:trPr>
          <w:trHeight w:val="113"/>
        </w:trPr>
        <w:tc>
          <w:tcPr>
            <w:tcW w:w="1890" w:type="dxa"/>
            <w:tcBorders>
              <w:right w:val="nil"/>
            </w:tcBorders>
            <w:vAlign w:val="center"/>
          </w:tcPr>
          <w:p w14:paraId="063A69A4" w14:textId="77777777" w:rsidR="00FD76A0" w:rsidRDefault="0026650D">
            <w:pPr>
              <w:spacing w:before="60" w:after="60" w:line="276" w:lineRule="auto"/>
              <w:rPr>
                <w:rFonts w:ascii="Arial" w:hAnsi="Arial" w:cs="Arial"/>
                <w:b/>
              </w:rPr>
            </w:pPr>
            <w:r>
              <w:rPr>
                <w:rFonts w:ascii="Arial" w:hAnsi="Arial" w:cs="Arial"/>
                <w:b/>
              </w:rPr>
              <w:t>EO</w:t>
            </w:r>
          </w:p>
        </w:tc>
        <w:tc>
          <w:tcPr>
            <w:tcW w:w="7380" w:type="dxa"/>
            <w:tcBorders>
              <w:top w:val="single" w:sz="4" w:space="0" w:color="auto"/>
              <w:left w:val="single" w:sz="4" w:space="0" w:color="auto"/>
              <w:bottom w:val="single" w:sz="4" w:space="0" w:color="auto"/>
              <w:right w:val="single" w:sz="4" w:space="0" w:color="auto"/>
            </w:tcBorders>
            <w:vAlign w:val="center"/>
          </w:tcPr>
          <w:p w14:paraId="09F37C3E" w14:textId="77777777" w:rsidR="00FD76A0" w:rsidRDefault="0026650D">
            <w:pPr>
              <w:spacing w:before="60" w:after="60" w:line="276" w:lineRule="auto"/>
              <w:rPr>
                <w:rFonts w:ascii="Arial" w:hAnsi="Arial" w:cs="Arial"/>
              </w:rPr>
            </w:pPr>
            <w:r>
              <w:rPr>
                <w:rFonts w:ascii="Arial" w:hAnsi="Arial" w:cs="Arial"/>
              </w:rPr>
              <w:t>Equal Opportunity.</w:t>
            </w:r>
          </w:p>
        </w:tc>
      </w:tr>
      <w:tr w:rsidR="00C177E1" w14:paraId="112C16FB" w14:textId="77777777" w:rsidTr="00C177E1">
        <w:trPr>
          <w:trHeight w:val="1212"/>
        </w:trPr>
        <w:tc>
          <w:tcPr>
            <w:tcW w:w="1890" w:type="dxa"/>
            <w:tcBorders>
              <w:top w:val="single" w:sz="4" w:space="0" w:color="auto"/>
              <w:left w:val="single" w:sz="4" w:space="0" w:color="auto"/>
              <w:bottom w:val="single" w:sz="4" w:space="0" w:color="auto"/>
              <w:right w:val="nil"/>
            </w:tcBorders>
            <w:vAlign w:val="center"/>
          </w:tcPr>
          <w:p w14:paraId="4C961240" w14:textId="77777777" w:rsidR="00FD76A0" w:rsidRDefault="0026650D">
            <w:pPr>
              <w:spacing w:before="60" w:after="60" w:line="276" w:lineRule="auto"/>
              <w:rPr>
                <w:rFonts w:ascii="Arial" w:hAnsi="Arial" w:cs="Arial"/>
                <w:b/>
              </w:rPr>
            </w:pPr>
            <w:r>
              <w:rPr>
                <w:rFonts w:ascii="Arial" w:hAnsi="Arial" w:cs="Arial"/>
                <w:b/>
              </w:rPr>
              <w:t xml:space="preserve">Equal Opportunity Officer </w:t>
            </w:r>
          </w:p>
          <w:p w14:paraId="3446F3AC" w14:textId="77777777" w:rsidR="00FD76A0" w:rsidRDefault="00FD76A0">
            <w:pPr>
              <w:rPr>
                <w:rFonts w:ascii="Arial" w:hAnsi="Arial" w:cs="Arial"/>
              </w:rPr>
            </w:pPr>
          </w:p>
        </w:tc>
        <w:tc>
          <w:tcPr>
            <w:tcW w:w="7380" w:type="dxa"/>
            <w:tcBorders>
              <w:top w:val="single" w:sz="4" w:space="0" w:color="auto"/>
              <w:left w:val="single" w:sz="4" w:space="0" w:color="auto"/>
              <w:bottom w:val="single" w:sz="4" w:space="0" w:color="auto"/>
              <w:right w:val="single" w:sz="4" w:space="0" w:color="auto"/>
            </w:tcBorders>
            <w:vAlign w:val="center"/>
          </w:tcPr>
          <w:p w14:paraId="20FEDFD5" w14:textId="77777777" w:rsidR="00FD76A0" w:rsidRDefault="0026650D">
            <w:pPr>
              <w:spacing w:before="60" w:after="60" w:line="276" w:lineRule="auto"/>
              <w:rPr>
                <w:rFonts w:ascii="Arial" w:hAnsi="Arial" w:cs="Arial"/>
              </w:rPr>
            </w:pPr>
            <w:r>
              <w:rPr>
                <w:rFonts w:ascii="Arial" w:hAnsi="Arial" w:cs="Arial"/>
              </w:rPr>
              <w:t xml:space="preserve">Person assigned to administer the EO Policy and to coordinate impartial investigations into alleged breaches of EO.  </w:t>
            </w:r>
          </w:p>
          <w:p w14:paraId="6CDDB9C1" w14:textId="130FA07F" w:rsidR="00FD76A0" w:rsidRDefault="0026650D">
            <w:pPr>
              <w:spacing w:before="60" w:after="60" w:line="276" w:lineRule="auto"/>
              <w:rPr>
                <w:rFonts w:ascii="Arial" w:hAnsi="Arial" w:cs="Arial"/>
              </w:rPr>
            </w:pPr>
            <w:r>
              <w:rPr>
                <w:rFonts w:ascii="Arial" w:hAnsi="Arial" w:cs="Arial"/>
              </w:rPr>
              <w:t>The ACPCC Equal Opportunity Officer is the Director Corporate Services.</w:t>
            </w:r>
          </w:p>
        </w:tc>
      </w:tr>
      <w:tr w:rsidR="00C177E1" w14:paraId="55B4FD9C" w14:textId="77777777" w:rsidTr="00C177E1">
        <w:trPr>
          <w:trHeight w:val="1212"/>
        </w:trPr>
        <w:tc>
          <w:tcPr>
            <w:tcW w:w="1890" w:type="dxa"/>
            <w:tcBorders>
              <w:top w:val="single" w:sz="4" w:space="0" w:color="auto"/>
              <w:left w:val="single" w:sz="4" w:space="0" w:color="auto"/>
              <w:bottom w:val="single" w:sz="4" w:space="0" w:color="auto"/>
              <w:right w:val="nil"/>
            </w:tcBorders>
            <w:vAlign w:val="center"/>
          </w:tcPr>
          <w:p w14:paraId="120B13B2" w14:textId="59E8FC24" w:rsidR="005E592C" w:rsidRDefault="005E592C">
            <w:pPr>
              <w:spacing w:before="60" w:after="60" w:line="276" w:lineRule="auto"/>
              <w:rPr>
                <w:rFonts w:ascii="Arial" w:hAnsi="Arial" w:cs="Arial"/>
                <w:b/>
              </w:rPr>
            </w:pPr>
            <w:r>
              <w:rPr>
                <w:rFonts w:ascii="Arial" w:hAnsi="Arial" w:cs="Arial"/>
                <w:b/>
              </w:rPr>
              <w:t xml:space="preserve">Gender </w:t>
            </w:r>
          </w:p>
        </w:tc>
        <w:tc>
          <w:tcPr>
            <w:tcW w:w="7380" w:type="dxa"/>
            <w:tcBorders>
              <w:top w:val="single" w:sz="4" w:space="0" w:color="auto"/>
              <w:left w:val="single" w:sz="4" w:space="0" w:color="auto"/>
              <w:bottom w:val="single" w:sz="4" w:space="0" w:color="auto"/>
              <w:right w:val="single" w:sz="4" w:space="0" w:color="auto"/>
            </w:tcBorders>
            <w:vAlign w:val="center"/>
          </w:tcPr>
          <w:p w14:paraId="4DFF4989" w14:textId="482A8B37" w:rsidR="00EE359A" w:rsidRDefault="005E592C">
            <w:pPr>
              <w:spacing w:before="60" w:after="60" w:line="276" w:lineRule="auto"/>
              <w:rPr>
                <w:rFonts w:ascii="Arial" w:hAnsi="Arial" w:cs="Arial"/>
              </w:rPr>
            </w:pPr>
            <w:r>
              <w:rPr>
                <w:rFonts w:ascii="Arial" w:hAnsi="Arial" w:cs="Arial"/>
              </w:rPr>
              <w:t xml:space="preserve">Refers </w:t>
            </w:r>
            <w:r w:rsidR="00EE359A">
              <w:rPr>
                <w:rFonts w:ascii="Arial" w:hAnsi="Arial" w:cs="Arial"/>
              </w:rPr>
              <w:t xml:space="preserve">to the social attributes and differences associated with being female, male, transgender or non-binary and does not replace the term ‘sex’ which refers exclusively to biological differences. </w:t>
            </w:r>
          </w:p>
        </w:tc>
      </w:tr>
      <w:tr w:rsidR="00EE359A" w14:paraId="46EDA0B0" w14:textId="77777777" w:rsidTr="4D588B91">
        <w:trPr>
          <w:trHeight w:val="1212"/>
        </w:trPr>
        <w:tc>
          <w:tcPr>
            <w:tcW w:w="1890" w:type="dxa"/>
            <w:tcBorders>
              <w:bottom w:val="single" w:sz="4" w:space="0" w:color="auto"/>
              <w:right w:val="nil"/>
            </w:tcBorders>
            <w:vAlign w:val="center"/>
          </w:tcPr>
          <w:p w14:paraId="1267A649" w14:textId="0049214B" w:rsidR="00EE359A" w:rsidRDefault="00EE359A">
            <w:pPr>
              <w:spacing w:before="60" w:after="60" w:line="276" w:lineRule="auto"/>
              <w:rPr>
                <w:rFonts w:ascii="Arial" w:hAnsi="Arial" w:cs="Arial"/>
                <w:b/>
              </w:rPr>
            </w:pPr>
            <w:r>
              <w:rPr>
                <w:rFonts w:ascii="Arial" w:hAnsi="Arial" w:cs="Arial"/>
                <w:b/>
              </w:rPr>
              <w:t xml:space="preserve">Gender Equity </w:t>
            </w:r>
          </w:p>
        </w:tc>
        <w:tc>
          <w:tcPr>
            <w:tcW w:w="7380" w:type="dxa"/>
            <w:tcBorders>
              <w:top w:val="single" w:sz="4" w:space="0" w:color="auto"/>
              <w:left w:val="single" w:sz="4" w:space="0" w:color="auto"/>
              <w:bottom w:val="single" w:sz="4" w:space="0" w:color="auto"/>
              <w:right w:val="single" w:sz="4" w:space="0" w:color="auto"/>
            </w:tcBorders>
            <w:vAlign w:val="center"/>
          </w:tcPr>
          <w:p w14:paraId="2D62EB67" w14:textId="340940F6" w:rsidR="00EE359A" w:rsidRDefault="00EE359A">
            <w:pPr>
              <w:spacing w:before="60" w:after="60" w:line="276" w:lineRule="auto"/>
              <w:rPr>
                <w:rFonts w:ascii="Arial" w:hAnsi="Arial" w:cs="Arial"/>
              </w:rPr>
            </w:pPr>
            <w:r>
              <w:rPr>
                <w:rFonts w:ascii="Arial" w:hAnsi="Arial" w:cs="Arial"/>
              </w:rPr>
              <w:t xml:space="preserve">Gender equity is achieved when people </w:t>
            </w:r>
            <w:proofErr w:type="gramStart"/>
            <w:r>
              <w:rPr>
                <w:rFonts w:ascii="Arial" w:hAnsi="Arial" w:cs="Arial"/>
              </w:rPr>
              <w:t>are able to</w:t>
            </w:r>
            <w:proofErr w:type="gramEnd"/>
            <w:r>
              <w:rPr>
                <w:rFonts w:ascii="Arial" w:hAnsi="Arial" w:cs="Arial"/>
              </w:rPr>
              <w:t xml:space="preserve"> access the same rewards, resources and opportunities regardless of whether they are female, male, transgender or non-binary. </w:t>
            </w:r>
          </w:p>
        </w:tc>
      </w:tr>
      <w:tr w:rsidR="5EEA713F" w14:paraId="2E89F88C" w14:textId="77777777" w:rsidTr="4D588B91">
        <w:trPr>
          <w:trHeight w:val="1212"/>
        </w:trPr>
        <w:tc>
          <w:tcPr>
            <w:tcW w:w="1890" w:type="dxa"/>
            <w:tcBorders>
              <w:bottom w:val="single" w:sz="4" w:space="0" w:color="auto"/>
              <w:right w:val="nil"/>
            </w:tcBorders>
            <w:vAlign w:val="center"/>
          </w:tcPr>
          <w:p w14:paraId="2BAE2D3D" w14:textId="229DB5AE" w:rsidR="183D16E8" w:rsidRDefault="183D16E8" w:rsidP="5EEA713F">
            <w:pPr>
              <w:spacing w:line="276" w:lineRule="auto"/>
              <w:rPr>
                <w:rFonts w:ascii="Arial" w:hAnsi="Arial" w:cs="Arial"/>
                <w:b/>
                <w:bCs/>
              </w:rPr>
            </w:pPr>
            <w:r w:rsidRPr="5EEA713F">
              <w:rPr>
                <w:rFonts w:ascii="Arial" w:hAnsi="Arial" w:cs="Arial"/>
                <w:b/>
                <w:bCs/>
              </w:rPr>
              <w:t xml:space="preserve">Sex </w:t>
            </w:r>
          </w:p>
        </w:tc>
        <w:tc>
          <w:tcPr>
            <w:tcW w:w="7380" w:type="dxa"/>
            <w:tcBorders>
              <w:top w:val="single" w:sz="4" w:space="0" w:color="auto"/>
              <w:left w:val="single" w:sz="4" w:space="0" w:color="auto"/>
              <w:bottom w:val="single" w:sz="4" w:space="0" w:color="auto"/>
              <w:right w:val="single" w:sz="4" w:space="0" w:color="auto"/>
            </w:tcBorders>
            <w:vAlign w:val="center"/>
          </w:tcPr>
          <w:p w14:paraId="61967B7A" w14:textId="05E3AEA7" w:rsidR="5EEA713F" w:rsidRDefault="6947BABE" w:rsidP="00C177E1">
            <w:pPr>
              <w:spacing w:before="60" w:after="60" w:line="276" w:lineRule="auto"/>
              <w:rPr>
                <w:rFonts w:ascii="Arial" w:eastAsia="Arial" w:hAnsi="Arial" w:cs="Arial"/>
              </w:rPr>
            </w:pPr>
            <w:r w:rsidRPr="00C177E1">
              <w:rPr>
                <w:rFonts w:ascii="Arial" w:hAnsi="Arial" w:cs="Arial"/>
              </w:rPr>
              <w:t>Sex refers to the biological and physiological characteristics that define humans as female or male. These sets of biological characteristics are not mutually exclusive, as there are individuals who possess both, but these characteristics tend to differentiate humans as females or males</w:t>
            </w:r>
          </w:p>
        </w:tc>
      </w:tr>
    </w:tbl>
    <w:p w14:paraId="613D0F45" w14:textId="77777777" w:rsidR="00FD76A0" w:rsidRDefault="0026650D">
      <w:pPr>
        <w:pStyle w:val="Heading2"/>
        <w:rPr>
          <w:rFonts w:cs="Arial"/>
          <w:i w:val="0"/>
        </w:rPr>
      </w:pPr>
      <w:r>
        <w:rPr>
          <w:rFonts w:cs="Arial"/>
          <w:i w:val="0"/>
        </w:rPr>
        <w:t>AUTHORITY &amp; RESPONSIBILITY</w:t>
      </w:r>
    </w:p>
    <w:p w14:paraId="7E7FC6BE" w14:textId="77777777" w:rsidR="00FD76A0" w:rsidRDefault="0026650D">
      <w:pPr>
        <w:spacing w:before="120" w:after="120" w:line="276" w:lineRule="auto"/>
        <w:rPr>
          <w:rFonts w:ascii="Arial" w:hAnsi="Arial" w:cs="Arial"/>
        </w:rPr>
      </w:pPr>
      <w:r>
        <w:rPr>
          <w:rFonts w:ascii="Arial" w:hAnsi="Arial" w:cs="Arial"/>
        </w:rPr>
        <w:t>This Policy is issued under the authority of the Executive Director. The Director Corporate Services is responsible for the regular review of this Policy.</w:t>
      </w:r>
    </w:p>
    <w:p w14:paraId="06F870D2" w14:textId="77777777" w:rsidR="00FD76A0" w:rsidRDefault="0026650D">
      <w:pPr>
        <w:spacing w:before="120" w:after="120" w:line="276" w:lineRule="auto"/>
        <w:rPr>
          <w:rFonts w:ascii="Arial" w:hAnsi="Arial" w:cs="Arial"/>
        </w:rPr>
      </w:pPr>
      <w:r>
        <w:rPr>
          <w:rFonts w:ascii="Arial" w:hAnsi="Arial" w:cs="Arial"/>
        </w:rPr>
        <w:t xml:space="preserve">The </w:t>
      </w:r>
      <w:r>
        <w:rPr>
          <w:rFonts w:ascii="Arial" w:hAnsi="Arial" w:cs="Arial"/>
          <w:b/>
        </w:rPr>
        <w:t>Equal Opportunity Officer</w:t>
      </w:r>
      <w:r>
        <w:rPr>
          <w:rFonts w:ascii="Arial" w:hAnsi="Arial" w:cs="Arial"/>
        </w:rPr>
        <w:t xml:space="preserve"> is responsible for: </w:t>
      </w:r>
    </w:p>
    <w:p w14:paraId="040CDD44" w14:textId="77777777" w:rsidR="00FD76A0" w:rsidRDefault="0026650D">
      <w:pPr>
        <w:pStyle w:val="ListParagraph"/>
        <w:jc w:val="left"/>
      </w:pPr>
      <w:r>
        <w:t>the content and review of this Policy</w:t>
      </w:r>
    </w:p>
    <w:p w14:paraId="7C913D49" w14:textId="77777777" w:rsidR="00FD76A0" w:rsidRDefault="0026650D">
      <w:pPr>
        <w:pStyle w:val="ListParagraph"/>
        <w:jc w:val="left"/>
      </w:pPr>
      <w:r>
        <w:t xml:space="preserve">administering the Policy and accompanying Procedure </w:t>
      </w:r>
    </w:p>
    <w:p w14:paraId="6AE91393" w14:textId="77777777" w:rsidR="00FD76A0" w:rsidRDefault="0026650D">
      <w:pPr>
        <w:pStyle w:val="ListParagraph"/>
        <w:jc w:val="left"/>
      </w:pPr>
      <w:r>
        <w:t xml:space="preserve">providing general advice about the Policy and accompanying Procedure </w:t>
      </w:r>
    </w:p>
    <w:p w14:paraId="0AA0EA90" w14:textId="77777777" w:rsidR="00FD76A0" w:rsidRDefault="0026650D">
      <w:pPr>
        <w:pStyle w:val="ListParagraph"/>
        <w:jc w:val="left"/>
      </w:pPr>
      <w:r>
        <w:t xml:space="preserve">coordinating formal investigations into complaints of breaches of the Policy. </w:t>
      </w:r>
    </w:p>
    <w:p w14:paraId="5A53490A" w14:textId="77777777" w:rsidR="00FD76A0" w:rsidRDefault="0026650D">
      <w:pPr>
        <w:spacing w:before="240" w:after="120" w:line="276" w:lineRule="auto"/>
        <w:rPr>
          <w:rFonts w:ascii="Arial" w:hAnsi="Arial" w:cs="Arial"/>
        </w:rPr>
      </w:pPr>
      <w:r>
        <w:rPr>
          <w:rFonts w:ascii="Arial" w:hAnsi="Arial" w:cs="Arial"/>
        </w:rPr>
        <w:t xml:space="preserve">All </w:t>
      </w:r>
      <w:r>
        <w:rPr>
          <w:rFonts w:ascii="Arial" w:hAnsi="Arial" w:cs="Arial"/>
          <w:b/>
          <w:bCs/>
        </w:rPr>
        <w:t xml:space="preserve">Directors, </w:t>
      </w:r>
      <w:r>
        <w:rPr>
          <w:rFonts w:ascii="Arial" w:hAnsi="Arial" w:cs="Arial"/>
          <w:b/>
        </w:rPr>
        <w:t>Managers, Supervisors, and the Human Resource (HR) Manager</w:t>
      </w:r>
      <w:r>
        <w:rPr>
          <w:rFonts w:ascii="Arial" w:hAnsi="Arial" w:cs="Arial"/>
        </w:rPr>
        <w:t xml:space="preserve"> have a responsibility to: </w:t>
      </w:r>
    </w:p>
    <w:p w14:paraId="4825DD59" w14:textId="77777777" w:rsidR="00FD76A0" w:rsidRDefault="0026650D">
      <w:pPr>
        <w:pStyle w:val="ListParagraph"/>
        <w:jc w:val="left"/>
      </w:pPr>
      <w:r>
        <w:t>Model appropriate standards of behaviour</w:t>
      </w:r>
    </w:p>
    <w:p w14:paraId="6FA97B91" w14:textId="77777777" w:rsidR="00FD76A0" w:rsidRDefault="0026650D">
      <w:pPr>
        <w:pStyle w:val="ListParagraph"/>
        <w:jc w:val="left"/>
      </w:pPr>
      <w:r>
        <w:t>Take steps to educate and make staff aware of their obligations under this Policy and the law</w:t>
      </w:r>
    </w:p>
    <w:p w14:paraId="53F65A84" w14:textId="77777777" w:rsidR="00FD76A0" w:rsidRDefault="0026650D">
      <w:pPr>
        <w:pStyle w:val="ListParagraph"/>
        <w:jc w:val="left"/>
      </w:pPr>
      <w:r>
        <w:t>Intervene quickly and appropriately when they become aware of inappropriate behaviour</w:t>
      </w:r>
    </w:p>
    <w:p w14:paraId="2CFB6913" w14:textId="77777777" w:rsidR="00FD76A0" w:rsidRDefault="0026650D">
      <w:pPr>
        <w:pStyle w:val="ListParagraph"/>
        <w:jc w:val="left"/>
      </w:pPr>
      <w:r>
        <w:t>Act fairly to resolve issues and enforce workplace behavioural standards, making sure relevant parties are heard</w:t>
      </w:r>
    </w:p>
    <w:p w14:paraId="43FABFB1" w14:textId="77777777" w:rsidR="00FD76A0" w:rsidRDefault="0026650D">
      <w:pPr>
        <w:pStyle w:val="ListParagraph"/>
        <w:jc w:val="left"/>
      </w:pPr>
      <w:r>
        <w:t>Help staff resolve complaints informally</w:t>
      </w:r>
    </w:p>
    <w:p w14:paraId="0598AF36" w14:textId="77777777" w:rsidR="00FD76A0" w:rsidRDefault="0026650D">
      <w:pPr>
        <w:pStyle w:val="ListParagraph"/>
        <w:jc w:val="left"/>
      </w:pPr>
      <w:r>
        <w:t>Refer formal complaints about breaches of this Policy to the appropriate complaint handling officer for investigation</w:t>
      </w:r>
    </w:p>
    <w:p w14:paraId="4D867026" w14:textId="77777777" w:rsidR="00FD76A0" w:rsidRDefault="0026650D">
      <w:pPr>
        <w:pStyle w:val="ListParagraph"/>
        <w:jc w:val="left"/>
      </w:pPr>
      <w:r>
        <w:t>Ensure staff who raise an issue or make a complaint are not victimised</w:t>
      </w:r>
    </w:p>
    <w:p w14:paraId="39895139" w14:textId="77777777" w:rsidR="00FD76A0" w:rsidRDefault="0026650D">
      <w:pPr>
        <w:pStyle w:val="ListParagraph"/>
        <w:jc w:val="left"/>
      </w:pPr>
      <w:r>
        <w:t>Ensure that recruitment decisions are based on merit and that no discriminatory requests for information are made</w:t>
      </w:r>
    </w:p>
    <w:p w14:paraId="63FDD55E" w14:textId="77777777" w:rsidR="00FD76A0" w:rsidRDefault="0026650D">
      <w:pPr>
        <w:pStyle w:val="ListParagraph"/>
        <w:jc w:val="left"/>
      </w:pPr>
      <w:r>
        <w:t>Seriously consider requests for flexible work arrangements.</w:t>
      </w:r>
    </w:p>
    <w:p w14:paraId="1BEF52F0" w14:textId="77777777" w:rsidR="00FD76A0" w:rsidRDefault="0026650D">
      <w:pPr>
        <w:spacing w:before="240" w:after="120" w:line="276" w:lineRule="auto"/>
        <w:rPr>
          <w:rFonts w:ascii="Arial" w:hAnsi="Arial" w:cs="Arial"/>
        </w:rPr>
      </w:pPr>
      <w:r>
        <w:rPr>
          <w:rFonts w:ascii="Arial" w:hAnsi="Arial" w:cs="Arial"/>
          <w:b/>
        </w:rPr>
        <w:lastRenderedPageBreak/>
        <w:t>Contact Officers</w:t>
      </w:r>
      <w:r>
        <w:rPr>
          <w:rFonts w:ascii="Arial" w:hAnsi="Arial" w:cs="Arial"/>
          <w:i/>
        </w:rPr>
        <w:t xml:space="preserve"> </w:t>
      </w:r>
      <w:r>
        <w:rPr>
          <w:rFonts w:ascii="Arial" w:hAnsi="Arial" w:cs="Arial"/>
        </w:rPr>
        <w:t>have a responsibility to:</w:t>
      </w:r>
    </w:p>
    <w:p w14:paraId="474D8838" w14:textId="77777777" w:rsidR="00FD76A0" w:rsidRDefault="0026650D">
      <w:pPr>
        <w:pStyle w:val="ListParagraph"/>
        <w:jc w:val="left"/>
      </w:pPr>
      <w:r>
        <w:t>act in a manner that is consistent with Policy</w:t>
      </w:r>
    </w:p>
    <w:p w14:paraId="046FADAE" w14:textId="77777777" w:rsidR="00FD76A0" w:rsidRDefault="0026650D">
      <w:pPr>
        <w:pStyle w:val="ListParagraph"/>
        <w:jc w:val="left"/>
      </w:pPr>
      <w:r>
        <w:t xml:space="preserve">maintain confidentiality in relation to matters </w:t>
      </w:r>
      <w:proofErr w:type="gramStart"/>
      <w:r>
        <w:t>arising under this Policy at all times</w:t>
      </w:r>
      <w:proofErr w:type="gramEnd"/>
    </w:p>
    <w:p w14:paraId="4B669DD0" w14:textId="493BC135" w:rsidR="00FD76A0" w:rsidRDefault="0026650D">
      <w:pPr>
        <w:pStyle w:val="ListParagraph"/>
        <w:jc w:val="left"/>
      </w:pPr>
      <w:r>
        <w:t>provide neutral support to ACPCC personnel who have concerns about breaches of the Policy through actively listening to concerns, and providing a range of strategies which may be employed to resolve the matter</w:t>
      </w:r>
    </w:p>
    <w:p w14:paraId="3AC117D8" w14:textId="77777777" w:rsidR="00FD76A0" w:rsidRDefault="0026650D">
      <w:pPr>
        <w:pStyle w:val="ListParagraph"/>
        <w:jc w:val="left"/>
      </w:pPr>
      <w:r>
        <w:t>not act as advocates or mediators between the parties to the concern</w:t>
      </w:r>
    </w:p>
    <w:p w14:paraId="1CBC86CC" w14:textId="77777777" w:rsidR="00FD76A0" w:rsidRDefault="0026650D">
      <w:pPr>
        <w:pStyle w:val="ListParagraph"/>
        <w:jc w:val="left"/>
      </w:pPr>
      <w:r>
        <w:t>be available to provide neutral support to either complainants or respondents (a single contact officer cannot support both parties to the same complaint)</w:t>
      </w:r>
    </w:p>
    <w:p w14:paraId="078C04F9" w14:textId="2452D074" w:rsidR="00FD76A0" w:rsidRDefault="0026650D">
      <w:pPr>
        <w:pStyle w:val="ListParagraph"/>
        <w:jc w:val="left"/>
      </w:pPr>
      <w:r>
        <w:t>make recommendations to the Equal Opportunity Officer of any proactive measures that may be considered to successfully achieve the purposes of this Policy in the ACPCC workplace.</w:t>
      </w:r>
    </w:p>
    <w:p w14:paraId="21A7752A" w14:textId="77777777" w:rsidR="00FD76A0" w:rsidRDefault="0026650D">
      <w:pPr>
        <w:spacing w:before="240" w:after="120" w:line="276" w:lineRule="auto"/>
        <w:rPr>
          <w:rFonts w:ascii="Arial" w:hAnsi="Arial" w:cs="Arial"/>
          <w:i/>
        </w:rPr>
      </w:pPr>
      <w:r>
        <w:rPr>
          <w:rFonts w:ascii="Arial" w:hAnsi="Arial" w:cs="Arial"/>
          <w:b/>
        </w:rPr>
        <w:t>Employees, students on placement, visiting practitioners, volunteers and contractors</w:t>
      </w:r>
      <w:r>
        <w:rPr>
          <w:rFonts w:ascii="Arial" w:hAnsi="Arial" w:cs="Arial"/>
          <w:b/>
          <w:i/>
        </w:rPr>
        <w:t xml:space="preserve"> </w:t>
      </w:r>
      <w:r>
        <w:rPr>
          <w:rFonts w:ascii="Arial" w:hAnsi="Arial" w:cs="Arial"/>
        </w:rPr>
        <w:t xml:space="preserve">have a responsibility to: </w:t>
      </w:r>
    </w:p>
    <w:p w14:paraId="30468248" w14:textId="77777777" w:rsidR="00FD76A0" w:rsidRDefault="0026650D">
      <w:pPr>
        <w:pStyle w:val="ListParagraph"/>
        <w:rPr>
          <w:lang w:eastAsia="en-AU"/>
        </w:rPr>
      </w:pPr>
      <w:r>
        <w:t>follow the standards of behaviour outlined in this Policy</w:t>
      </w:r>
    </w:p>
    <w:p w14:paraId="1C00DC93" w14:textId="77777777" w:rsidR="00FD76A0" w:rsidRDefault="0026650D">
      <w:pPr>
        <w:pStyle w:val="ListParagraph"/>
      </w:pPr>
      <w:r>
        <w:t>offer support to people who experience discrimination, bullying or sexual harassment, including providing information about how to make a complaint</w:t>
      </w:r>
    </w:p>
    <w:p w14:paraId="681AB3C3" w14:textId="77777777" w:rsidR="00FD76A0" w:rsidRDefault="0026650D">
      <w:pPr>
        <w:pStyle w:val="ListParagraph"/>
      </w:pPr>
      <w:r>
        <w:t>avoid gossip and respect the confidentiality of complaint resolution procedures</w:t>
      </w:r>
    </w:p>
    <w:p w14:paraId="636F412A" w14:textId="77777777" w:rsidR="00FD76A0" w:rsidRDefault="0026650D">
      <w:pPr>
        <w:pStyle w:val="ListParagraph"/>
      </w:pPr>
      <w:r>
        <w:t>treat everyone with dignity, courtesy and respect.</w:t>
      </w:r>
    </w:p>
    <w:p w14:paraId="3E23D5BA" w14:textId="77777777" w:rsidR="00FD76A0" w:rsidRDefault="0026650D">
      <w:pPr>
        <w:pStyle w:val="Heading2"/>
        <w:spacing w:line="276" w:lineRule="auto"/>
        <w:rPr>
          <w:rFonts w:cs="Arial"/>
          <w:i w:val="0"/>
        </w:rPr>
      </w:pPr>
      <w:r>
        <w:rPr>
          <w:rFonts w:cs="Arial"/>
          <w:i w:val="0"/>
        </w:rPr>
        <w:t>POLICY</w:t>
      </w:r>
    </w:p>
    <w:p w14:paraId="7FCB28DE" w14:textId="77777777" w:rsidR="00FD76A0" w:rsidRDefault="0026650D">
      <w:pPr>
        <w:keepNext/>
        <w:spacing w:before="120" w:after="120" w:line="276" w:lineRule="auto"/>
        <w:rPr>
          <w:rFonts w:ascii="Arial" w:hAnsi="Arial" w:cs="Arial"/>
          <w:b/>
          <w:sz w:val="24"/>
        </w:rPr>
      </w:pPr>
      <w:r>
        <w:rPr>
          <w:rFonts w:ascii="Arial" w:hAnsi="Arial" w:cs="Arial"/>
          <w:b/>
          <w:sz w:val="24"/>
        </w:rPr>
        <w:t>Policy Statement</w:t>
      </w:r>
    </w:p>
    <w:p w14:paraId="2FEBC6DC" w14:textId="59A8C138" w:rsidR="00FD76A0" w:rsidRDefault="0026650D">
      <w:pPr>
        <w:spacing w:before="120" w:after="120" w:line="276" w:lineRule="auto"/>
        <w:rPr>
          <w:rFonts w:ascii="Arial" w:hAnsi="Arial" w:cs="Arial"/>
        </w:rPr>
      </w:pPr>
      <w:r>
        <w:rPr>
          <w:rFonts w:ascii="Arial" w:hAnsi="Arial" w:cs="Arial"/>
        </w:rPr>
        <w:t>Discrimination and sexual harassment are unacceptable at the ACPCC and are unlawful under legislation including:</w:t>
      </w:r>
    </w:p>
    <w:p w14:paraId="0338A34B" w14:textId="77777777" w:rsidR="00FD76A0" w:rsidRDefault="0026650D">
      <w:pPr>
        <w:pStyle w:val="ListParagraph"/>
      </w:pPr>
      <w:r>
        <w:t>Sex Discrimination Act 1984 (</w:t>
      </w:r>
      <w:proofErr w:type="spellStart"/>
      <w:r>
        <w:t>Cth</w:t>
      </w:r>
      <w:proofErr w:type="spellEnd"/>
      <w:r>
        <w:t>)</w:t>
      </w:r>
    </w:p>
    <w:p w14:paraId="2EDD1EA8" w14:textId="77777777" w:rsidR="00FD76A0" w:rsidRDefault="0026650D">
      <w:pPr>
        <w:pStyle w:val="ListParagraph"/>
      </w:pPr>
      <w:r>
        <w:t>Racial Discrimination Act 1975 (</w:t>
      </w:r>
      <w:proofErr w:type="spellStart"/>
      <w:r>
        <w:t>Cth</w:t>
      </w:r>
      <w:proofErr w:type="spellEnd"/>
      <w:r>
        <w:t>)</w:t>
      </w:r>
    </w:p>
    <w:p w14:paraId="73EDE587" w14:textId="77777777" w:rsidR="00FD76A0" w:rsidRDefault="0026650D">
      <w:pPr>
        <w:pStyle w:val="ListParagraph"/>
      </w:pPr>
      <w:r>
        <w:t>Disability Discrimination Act 1992 (</w:t>
      </w:r>
      <w:proofErr w:type="spellStart"/>
      <w:r>
        <w:t>Cth</w:t>
      </w:r>
      <w:proofErr w:type="spellEnd"/>
      <w:r>
        <w:t>)</w:t>
      </w:r>
    </w:p>
    <w:p w14:paraId="088B5C5D" w14:textId="77777777" w:rsidR="00FD76A0" w:rsidRDefault="0026650D">
      <w:pPr>
        <w:pStyle w:val="ListParagraph"/>
      </w:pPr>
      <w:r>
        <w:t>Age Discrimination Act 2004 (</w:t>
      </w:r>
      <w:proofErr w:type="spellStart"/>
      <w:r>
        <w:t>Cth</w:t>
      </w:r>
      <w:proofErr w:type="spellEnd"/>
      <w:r>
        <w:t>)</w:t>
      </w:r>
    </w:p>
    <w:p w14:paraId="65631A0C" w14:textId="77777777" w:rsidR="00FD76A0" w:rsidRDefault="0026650D">
      <w:pPr>
        <w:pStyle w:val="ListParagraph"/>
      </w:pPr>
      <w:r>
        <w:t>Australian Human Rights Commission Act 1986 (</w:t>
      </w:r>
      <w:proofErr w:type="spellStart"/>
      <w:r>
        <w:t>Cth</w:t>
      </w:r>
      <w:proofErr w:type="spellEnd"/>
      <w:r>
        <w:t>)</w:t>
      </w:r>
    </w:p>
    <w:p w14:paraId="25EB3C64" w14:textId="77777777" w:rsidR="00FD76A0" w:rsidRDefault="0026650D">
      <w:pPr>
        <w:pStyle w:val="ListParagraph"/>
      </w:pPr>
      <w:r>
        <w:t>Equal Opportunity Act 2010 (Vic)</w:t>
      </w:r>
    </w:p>
    <w:p w14:paraId="4C788FBC" w14:textId="77777777" w:rsidR="00FD76A0" w:rsidRDefault="0026650D">
      <w:pPr>
        <w:pStyle w:val="ListParagraph"/>
      </w:pPr>
      <w:r>
        <w:t>Fair Work Act 2009 (</w:t>
      </w:r>
      <w:proofErr w:type="spellStart"/>
      <w:r>
        <w:t>Cth</w:t>
      </w:r>
      <w:proofErr w:type="spellEnd"/>
      <w:r>
        <w:t>)</w:t>
      </w:r>
    </w:p>
    <w:p w14:paraId="482EFD1B" w14:textId="1D15CC27" w:rsidR="00FD76A0" w:rsidRDefault="0026650D">
      <w:pPr>
        <w:spacing w:before="120" w:after="120" w:line="276" w:lineRule="auto"/>
        <w:rPr>
          <w:rFonts w:ascii="Arial" w:hAnsi="Arial" w:cs="Arial"/>
        </w:rPr>
      </w:pPr>
      <w:r>
        <w:rPr>
          <w:rFonts w:ascii="Arial" w:hAnsi="Arial" w:cs="Arial"/>
        </w:rPr>
        <w:t xml:space="preserve">Staff (including managers) found to have engaged in such conduct may be subject to disciplinary action, including up to the termination of their employment or engagement with the ACPCC. </w:t>
      </w:r>
    </w:p>
    <w:p w14:paraId="1555EC90" w14:textId="7213B49C" w:rsidR="00FD76A0" w:rsidRPr="00C177E1" w:rsidRDefault="0026650D">
      <w:pPr>
        <w:spacing w:before="120" w:after="120" w:line="276" w:lineRule="auto"/>
        <w:rPr>
          <w:rFonts w:ascii="Arial" w:hAnsi="Arial" w:cs="Arial"/>
          <w:b/>
          <w:bCs/>
        </w:rPr>
      </w:pPr>
      <w:r>
        <w:rPr>
          <w:rFonts w:ascii="Arial" w:hAnsi="Arial" w:cs="Arial"/>
        </w:rPr>
        <w:t>Under the law staff can be held personally liable for certain breaches of discrimination law, and the ACPCC can also be vicariously liable for staff members’ conduct.</w:t>
      </w:r>
      <w:r w:rsidRPr="00C177E1">
        <w:rPr>
          <w:rFonts w:ascii="Arial" w:hAnsi="Arial" w:cs="Arial"/>
          <w:b/>
          <w:bCs/>
        </w:rPr>
        <w:t xml:space="preserve">  </w:t>
      </w:r>
    </w:p>
    <w:p w14:paraId="59A4E01D" w14:textId="72389410" w:rsidR="00141081" w:rsidRPr="00C177E1" w:rsidRDefault="00141081">
      <w:pPr>
        <w:spacing w:before="120" w:after="120" w:line="276" w:lineRule="auto"/>
        <w:rPr>
          <w:rFonts w:ascii="Arial" w:hAnsi="Arial" w:cs="Arial"/>
          <w:b/>
          <w:bCs/>
        </w:rPr>
      </w:pPr>
      <w:r w:rsidRPr="00C177E1">
        <w:rPr>
          <w:rFonts w:ascii="Arial" w:hAnsi="Arial" w:cs="Arial"/>
          <w:b/>
          <w:bCs/>
        </w:rPr>
        <w:t xml:space="preserve">Gender Equity, Diversity and Inclusion </w:t>
      </w:r>
    </w:p>
    <w:p w14:paraId="32D16B12" w14:textId="56CED052" w:rsidR="00141081" w:rsidRDefault="00141081">
      <w:pPr>
        <w:spacing w:before="120" w:after="120" w:line="276" w:lineRule="auto"/>
        <w:rPr>
          <w:rFonts w:ascii="Arial" w:hAnsi="Arial" w:cs="Arial"/>
        </w:rPr>
      </w:pPr>
      <w:r>
        <w:rPr>
          <w:rFonts w:ascii="Arial" w:hAnsi="Arial" w:cs="Arial"/>
        </w:rPr>
        <w:t>We drive gender equity, diversity and inclusion in the following ways:</w:t>
      </w:r>
    </w:p>
    <w:p w14:paraId="3C47F811" w14:textId="77777777" w:rsidR="00141081" w:rsidRDefault="00A504FF" w:rsidP="00141081">
      <w:pPr>
        <w:pStyle w:val="ListParagraph"/>
        <w:numPr>
          <w:ilvl w:val="0"/>
          <w:numId w:val="67"/>
        </w:numPr>
      </w:pPr>
      <w:r w:rsidRPr="00141081">
        <w:t xml:space="preserve">We are committed to fostering an inclusive culture and to creating a fair and equitable workplace for staff of all genders.  </w:t>
      </w:r>
    </w:p>
    <w:p w14:paraId="029D0DF6" w14:textId="3C0A9CFF" w:rsidR="00141081" w:rsidRDefault="00A504FF" w:rsidP="00141081">
      <w:pPr>
        <w:pStyle w:val="ListParagraph"/>
        <w:numPr>
          <w:ilvl w:val="0"/>
          <w:numId w:val="67"/>
        </w:numPr>
      </w:pPr>
      <w:r w:rsidRPr="00141081">
        <w:t>We carefully consider the implications for women</w:t>
      </w:r>
      <w:r w:rsidR="00C06D0D">
        <w:t xml:space="preserve">, </w:t>
      </w:r>
      <w:r w:rsidR="00CF7FC3">
        <w:t xml:space="preserve">transgender and </w:t>
      </w:r>
      <w:r w:rsidR="00FB628A">
        <w:t>non-binary</w:t>
      </w:r>
      <w:r w:rsidR="00F60790">
        <w:t xml:space="preserve"> people</w:t>
      </w:r>
      <w:r w:rsidRPr="00141081">
        <w:t xml:space="preserve"> in the design, implementation, monitoring and evaluation of our public health services and international development work.  </w:t>
      </w:r>
    </w:p>
    <w:p w14:paraId="0E8A9771" w14:textId="227D8CA2" w:rsidR="00141081" w:rsidRDefault="00A504FF" w:rsidP="00141081">
      <w:pPr>
        <w:pStyle w:val="ListParagraph"/>
        <w:numPr>
          <w:ilvl w:val="0"/>
          <w:numId w:val="67"/>
        </w:numPr>
      </w:pPr>
      <w:r w:rsidRPr="00141081">
        <w:t>Through this work we encourage equal and meaningful participation of women</w:t>
      </w:r>
      <w:r w:rsidR="00AB4D29">
        <w:t xml:space="preserve">, </w:t>
      </w:r>
      <w:r w:rsidR="00D5319E">
        <w:t>transgender</w:t>
      </w:r>
      <w:r w:rsidR="007950C3">
        <w:t xml:space="preserve"> and non-binary people</w:t>
      </w:r>
      <w:r w:rsidRPr="00141081">
        <w:t xml:space="preserve"> in decision-making, </w:t>
      </w:r>
      <w:proofErr w:type="gramStart"/>
      <w:r w:rsidRPr="00141081">
        <w:t>We</w:t>
      </w:r>
      <w:proofErr w:type="gramEnd"/>
      <w:r w:rsidRPr="00141081">
        <w:t xml:space="preserve"> promote gender-responsive health care to improve availability and access to different groups of men</w:t>
      </w:r>
      <w:r w:rsidR="00DA1480">
        <w:t xml:space="preserve">, </w:t>
      </w:r>
      <w:r w:rsidRPr="00141081">
        <w:t>women, boys</w:t>
      </w:r>
      <w:r w:rsidR="00DA1480">
        <w:t xml:space="preserve">, </w:t>
      </w:r>
      <w:r w:rsidRPr="00141081">
        <w:t>girls</w:t>
      </w:r>
      <w:r w:rsidR="00DA1480">
        <w:t>, transgender and non-binary people</w:t>
      </w:r>
      <w:r w:rsidRPr="00141081">
        <w:t xml:space="preserve">.  </w:t>
      </w:r>
    </w:p>
    <w:p w14:paraId="37B8117D" w14:textId="77777777" w:rsidR="00141081" w:rsidRDefault="00A504FF" w:rsidP="00141081">
      <w:pPr>
        <w:pStyle w:val="ListParagraph"/>
        <w:numPr>
          <w:ilvl w:val="0"/>
          <w:numId w:val="67"/>
        </w:numPr>
      </w:pPr>
      <w:r w:rsidRPr="00141081">
        <w:t xml:space="preserve">We provide a workplace environment free from discrimination and harassment and take necessary action to eliminate any form of gender-based and intersectional discrimination. </w:t>
      </w:r>
    </w:p>
    <w:p w14:paraId="5362A435" w14:textId="77777777" w:rsidR="00141081" w:rsidRDefault="00A504FF" w:rsidP="00141081">
      <w:pPr>
        <w:pStyle w:val="ListParagraph"/>
        <w:numPr>
          <w:ilvl w:val="0"/>
          <w:numId w:val="67"/>
        </w:numPr>
      </w:pPr>
      <w:r w:rsidRPr="00141081">
        <w:lastRenderedPageBreak/>
        <w:t xml:space="preserve">We acknowledge the impacts of gender-based violence on staff and project participants.  We consider the risks that gender-based violence presents and measures to address these.  We provide leave for people experiencing family violence. </w:t>
      </w:r>
    </w:p>
    <w:p w14:paraId="672BBDEC" w14:textId="08954841" w:rsidR="00A504FF" w:rsidRDefault="00141081" w:rsidP="00141081">
      <w:pPr>
        <w:pStyle w:val="ListParagraph"/>
        <w:numPr>
          <w:ilvl w:val="0"/>
          <w:numId w:val="67"/>
        </w:numPr>
      </w:pPr>
      <w:r w:rsidRPr="00141081">
        <w:t>We remove barriers to women’s</w:t>
      </w:r>
      <w:r w:rsidR="005749B9">
        <w:t>, tran</w:t>
      </w:r>
      <w:r w:rsidR="00740D53">
        <w:t xml:space="preserve">sgender, </w:t>
      </w:r>
      <w:r w:rsidR="008F23C3">
        <w:t xml:space="preserve">and non-binary </w:t>
      </w:r>
      <w:r w:rsidR="00223276">
        <w:t>people</w:t>
      </w:r>
      <w:r w:rsidR="00A21A72">
        <w:t>’s</w:t>
      </w:r>
      <w:r w:rsidRPr="00141081">
        <w:t xml:space="preserve"> career advancement and success, by ensuring learning and development opportunities are available and accessible to all staff and that recruitment and promotion processes for staff are fair and transparent and take gender-related challenges into account.   </w:t>
      </w:r>
    </w:p>
    <w:p w14:paraId="2D28A05C" w14:textId="2760D54D" w:rsidR="00141081" w:rsidRDefault="00141081" w:rsidP="00141081">
      <w:pPr>
        <w:pStyle w:val="ListParagraph"/>
        <w:numPr>
          <w:ilvl w:val="0"/>
          <w:numId w:val="67"/>
        </w:numPr>
      </w:pPr>
      <w:r>
        <w:t>Women</w:t>
      </w:r>
      <w:r w:rsidR="0037749B">
        <w:t>, transgender and non-binary people</w:t>
      </w:r>
      <w:r>
        <w:t xml:space="preserve"> participate in all governance structures at national and international activities including our Board, committees and decision-making bodies.  </w:t>
      </w:r>
    </w:p>
    <w:p w14:paraId="029C23B9" w14:textId="658E2462" w:rsidR="007A5863" w:rsidRDefault="007A5863" w:rsidP="00141081">
      <w:pPr>
        <w:pStyle w:val="ListParagraph"/>
        <w:numPr>
          <w:ilvl w:val="0"/>
          <w:numId w:val="67"/>
        </w:numPr>
      </w:pPr>
      <w:r>
        <w:t xml:space="preserve">Staff can raise concerns or complaints relating to gender equity issues with the CEO or with Human Resources.  The Employee Assistance Program provides psychological support to people experiencing gender equity issues, including discrimination, harassment or family violence. </w:t>
      </w:r>
    </w:p>
    <w:p w14:paraId="6A18C261" w14:textId="77777777" w:rsidR="00B9168D" w:rsidRPr="000C2458" w:rsidRDefault="00B9168D" w:rsidP="000C2458">
      <w:pPr>
        <w:rPr>
          <w:rFonts w:ascii="Arial" w:hAnsi="Arial" w:cs="Arial"/>
          <w:b/>
          <w:bCs/>
          <w:sz w:val="24"/>
          <w:szCs w:val="24"/>
        </w:rPr>
      </w:pPr>
      <w:r w:rsidRPr="000C2458">
        <w:rPr>
          <w:rFonts w:ascii="Arial" w:hAnsi="Arial" w:cs="Arial"/>
          <w:b/>
          <w:bCs/>
          <w:sz w:val="24"/>
          <w:szCs w:val="24"/>
        </w:rPr>
        <w:t>Inclusion</w:t>
      </w:r>
    </w:p>
    <w:p w14:paraId="3B247D23" w14:textId="77777777" w:rsidR="00250945" w:rsidRPr="000C2458" w:rsidRDefault="00250945" w:rsidP="00B9168D">
      <w:pPr>
        <w:rPr>
          <w:rFonts w:ascii="Arial" w:hAnsi="Arial" w:cs="Arial"/>
        </w:rPr>
      </w:pPr>
    </w:p>
    <w:p w14:paraId="66028DCA" w14:textId="4867DC93" w:rsidR="00B9168D" w:rsidRPr="000C2458" w:rsidRDefault="00A87E4B" w:rsidP="00B9168D">
      <w:pPr>
        <w:rPr>
          <w:rFonts w:ascii="Arial" w:hAnsi="Arial" w:cs="Arial"/>
        </w:rPr>
      </w:pPr>
      <w:r>
        <w:rPr>
          <w:rFonts w:ascii="Arial" w:hAnsi="Arial" w:cs="Arial"/>
        </w:rPr>
        <w:t>ACPCC</w:t>
      </w:r>
      <w:r w:rsidR="00B9168D" w:rsidRPr="000C2458">
        <w:rPr>
          <w:rFonts w:ascii="Arial" w:hAnsi="Arial" w:cs="Arial"/>
        </w:rPr>
        <w:t xml:space="preserve"> is committed to fostering an inclusive environment where everyone feels valued and respected. We believe in the principles of equity, diversity, and inclusion, and strive to ensure that all individuals, regardless of their background, have equal opportunities to participate and succeed.</w:t>
      </w:r>
    </w:p>
    <w:p w14:paraId="668CBB41" w14:textId="77777777" w:rsidR="00B9168D" w:rsidRPr="000C2458" w:rsidRDefault="00B9168D" w:rsidP="00B9168D">
      <w:pPr>
        <w:rPr>
          <w:rFonts w:ascii="Arial" w:hAnsi="Arial" w:cs="Arial"/>
        </w:rPr>
      </w:pPr>
    </w:p>
    <w:p w14:paraId="071DCCD1" w14:textId="3CB09CFB" w:rsidR="00B9168D" w:rsidRPr="000C2458" w:rsidRDefault="00B9168D" w:rsidP="00B9168D">
      <w:pPr>
        <w:rPr>
          <w:rFonts w:ascii="Arial" w:hAnsi="Arial" w:cs="Arial"/>
        </w:rPr>
      </w:pPr>
      <w:r w:rsidRPr="000C2458">
        <w:rPr>
          <w:rFonts w:ascii="Arial" w:hAnsi="Arial" w:cs="Arial"/>
        </w:rPr>
        <w:t xml:space="preserve">ACPCC recognises that certain groups are marginalised and excluded due to various intersecting factors such as race, gender, disability, and socio-economic status, </w:t>
      </w:r>
      <w:r w:rsidR="00033F9C" w:rsidRPr="000C2458">
        <w:rPr>
          <w:rFonts w:ascii="Arial" w:hAnsi="Arial" w:cs="Arial"/>
        </w:rPr>
        <w:t>and other characteristics present on the</w:t>
      </w:r>
      <w:r w:rsidRPr="000C2458">
        <w:rPr>
          <w:rFonts w:ascii="Arial" w:hAnsi="Arial" w:cs="Arial"/>
        </w:rPr>
        <w:t xml:space="preserve"> list of protected personal characteristics under discrimination law. Our organisation is dedicated to identifying and addressing these systemic barriers to inclusion.</w:t>
      </w:r>
    </w:p>
    <w:p w14:paraId="5776C9AC" w14:textId="77777777" w:rsidR="00033F9C" w:rsidRPr="000C2458" w:rsidRDefault="00033F9C" w:rsidP="00B9168D">
      <w:pPr>
        <w:rPr>
          <w:rFonts w:ascii="Arial" w:hAnsi="Arial" w:cs="Arial"/>
        </w:rPr>
      </w:pPr>
    </w:p>
    <w:p w14:paraId="0336C0EC" w14:textId="77777777" w:rsidR="00C77FCD" w:rsidRPr="000C2458" w:rsidRDefault="00033F9C" w:rsidP="00B9168D">
      <w:pPr>
        <w:rPr>
          <w:rFonts w:ascii="Arial" w:hAnsi="Arial" w:cs="Arial"/>
        </w:rPr>
      </w:pPr>
      <w:r w:rsidRPr="000C2458">
        <w:rPr>
          <w:rFonts w:ascii="Arial" w:hAnsi="Arial" w:cs="Arial"/>
        </w:rPr>
        <w:t xml:space="preserve">ACPCC </w:t>
      </w:r>
      <w:r w:rsidR="00C77FCD" w:rsidRPr="000C2458">
        <w:rPr>
          <w:rFonts w:ascii="Arial" w:hAnsi="Arial" w:cs="Arial"/>
        </w:rPr>
        <w:t>takes the following approach to inclusion:</w:t>
      </w:r>
    </w:p>
    <w:p w14:paraId="3808DE40" w14:textId="47E596C1" w:rsidR="00250945" w:rsidRPr="000C2458" w:rsidRDefault="006F085A" w:rsidP="00250945">
      <w:pPr>
        <w:pStyle w:val="ListParagraph"/>
        <w:numPr>
          <w:ilvl w:val="0"/>
          <w:numId w:val="73"/>
        </w:numPr>
      </w:pPr>
      <w:r w:rsidRPr="000C2458">
        <w:t xml:space="preserve">Contextual Analysis: </w:t>
      </w:r>
      <w:r w:rsidR="00810CF3" w:rsidRPr="000C2458">
        <w:t xml:space="preserve">ACPCC recognises that contextual analysis is key. </w:t>
      </w:r>
      <w:r w:rsidRPr="000C2458">
        <w:t xml:space="preserve">We conduct thorough analyses to understand the </w:t>
      </w:r>
      <w:r w:rsidR="00A87E4B">
        <w:t xml:space="preserve">complex </w:t>
      </w:r>
      <w:r w:rsidRPr="000C2458">
        <w:t>intersecting drivers of marginalisation and exclusion within the context of international work.</w:t>
      </w:r>
    </w:p>
    <w:p w14:paraId="1C610C08" w14:textId="42B14732" w:rsidR="00FD76A0" w:rsidRDefault="00143AFD">
      <w:pPr>
        <w:spacing w:before="120" w:after="120" w:line="276" w:lineRule="auto"/>
        <w:rPr>
          <w:rFonts w:ascii="Arial" w:hAnsi="Arial" w:cs="Arial"/>
          <w:b/>
          <w:bCs/>
          <w:sz w:val="24"/>
          <w:szCs w:val="24"/>
        </w:rPr>
      </w:pPr>
      <w:r w:rsidRPr="000C2458">
        <w:t xml:space="preserve">Resource Allocation: </w:t>
      </w:r>
      <w:r w:rsidR="00B24AB5" w:rsidRPr="000C2458">
        <w:t>When appropriate, ACPCC will</w:t>
      </w:r>
      <w:r w:rsidRPr="000C2458">
        <w:t xml:space="preserve"> allocate resources to initiatives that focus on the inclusion and representation of vulnerable, marginalised, and excluded groups</w:t>
      </w:r>
      <w:r w:rsidR="00997CDC" w:rsidRPr="000C2458">
        <w:t>, for example, the establishment of employee resource groups</w:t>
      </w:r>
      <w:r w:rsidR="0094738C">
        <w:t xml:space="preserve">, employee </w:t>
      </w:r>
      <w:r w:rsidR="00250945" w:rsidRPr="000C2458">
        <w:t xml:space="preserve">training/awareness, or holding meetings to address behavioural </w:t>
      </w:r>
      <w:proofErr w:type="spellStart"/>
      <w:proofErr w:type="gramStart"/>
      <w:r w:rsidR="00250945" w:rsidRPr="000C2458">
        <w:t>standard</w:t>
      </w:r>
      <w:r w:rsidR="0094738C">
        <w:t>s.</w:t>
      </w:r>
      <w:r w:rsidR="0026650D">
        <w:rPr>
          <w:rFonts w:ascii="Arial" w:hAnsi="Arial" w:cs="Arial"/>
          <w:b/>
          <w:bCs/>
          <w:sz w:val="24"/>
          <w:szCs w:val="24"/>
        </w:rPr>
        <w:t>Discrimination</w:t>
      </w:r>
      <w:proofErr w:type="spellEnd"/>
      <w:proofErr w:type="gramEnd"/>
    </w:p>
    <w:p w14:paraId="52175FD4" w14:textId="0311A879" w:rsidR="00FD76A0" w:rsidRDefault="0026650D">
      <w:pPr>
        <w:spacing w:before="120" w:after="120" w:line="276" w:lineRule="auto"/>
        <w:rPr>
          <w:rFonts w:ascii="Arial" w:hAnsi="Arial" w:cs="Arial"/>
        </w:rPr>
      </w:pPr>
      <w:r>
        <w:rPr>
          <w:rFonts w:ascii="Arial" w:hAnsi="Arial" w:cs="Arial"/>
        </w:rPr>
        <w:t>It is unlawful and a breach of this Policy to treat, or propose to treat, someone unfavourably in their employment or when providing goods and services because of a personal characteristic protected by the law, such as sex, age, race or disability.</w:t>
      </w:r>
    </w:p>
    <w:p w14:paraId="65C42872" w14:textId="77777777" w:rsidR="00FD76A0" w:rsidRDefault="0026650D">
      <w:pPr>
        <w:spacing w:before="120" w:after="120" w:line="276" w:lineRule="auto"/>
        <w:rPr>
          <w:rFonts w:ascii="Arial" w:hAnsi="Arial" w:cs="Arial"/>
        </w:rPr>
      </w:pPr>
      <w:r>
        <w:rPr>
          <w:rFonts w:ascii="Arial" w:hAnsi="Arial" w:cs="Arial"/>
        </w:rPr>
        <w:t>Unlawful discrimination can occur:</w:t>
      </w:r>
    </w:p>
    <w:p w14:paraId="315094DA" w14:textId="77777777" w:rsidR="00FD76A0" w:rsidRDefault="0026650D">
      <w:pPr>
        <w:pStyle w:val="ListParagraph"/>
        <w:jc w:val="left"/>
      </w:pPr>
      <w:r>
        <w:rPr>
          <w:b/>
          <w:bCs/>
        </w:rPr>
        <w:t>Directly,</w:t>
      </w:r>
      <w:r>
        <w:t xml:space="preserve"> when a person or group is treated, or proposed to be treated less favourably than another person or group in a similar situation because of a personal characteristic protected by law (see list below). </w:t>
      </w:r>
    </w:p>
    <w:p w14:paraId="7B6B3733" w14:textId="77777777" w:rsidR="00FD76A0" w:rsidRDefault="0026650D">
      <w:pPr>
        <w:pStyle w:val="ListParagraph"/>
        <w:numPr>
          <w:ilvl w:val="0"/>
          <w:numId w:val="0"/>
        </w:numPr>
        <w:ind w:left="360"/>
        <w:jc w:val="left"/>
      </w:pPr>
      <w:r>
        <w:t xml:space="preserve">For example, a worker is harassed and humiliated because of their race, </w:t>
      </w:r>
      <w:r>
        <w:br/>
        <w:t>or</w:t>
      </w:r>
      <w:r>
        <w:br/>
        <w:t>A worker is refused promotion because they are ‘too old’.</w:t>
      </w:r>
    </w:p>
    <w:p w14:paraId="5B318EB8" w14:textId="77777777" w:rsidR="00FD76A0" w:rsidRDefault="00FD76A0">
      <w:pPr>
        <w:pStyle w:val="ListParagraph"/>
        <w:numPr>
          <w:ilvl w:val="0"/>
          <w:numId w:val="0"/>
        </w:numPr>
        <w:ind w:left="360"/>
        <w:jc w:val="left"/>
      </w:pPr>
    </w:p>
    <w:p w14:paraId="173D17F7" w14:textId="77777777" w:rsidR="00FD76A0" w:rsidRDefault="0026650D">
      <w:pPr>
        <w:pStyle w:val="ListParagraph"/>
        <w:numPr>
          <w:ilvl w:val="0"/>
          <w:numId w:val="0"/>
        </w:numPr>
        <w:ind w:left="360"/>
        <w:jc w:val="left"/>
      </w:pPr>
      <w:r>
        <w:t>OR</w:t>
      </w:r>
    </w:p>
    <w:p w14:paraId="1DCD2085" w14:textId="77777777" w:rsidR="00FD76A0" w:rsidRDefault="00FD76A0">
      <w:pPr>
        <w:pStyle w:val="ListParagraph"/>
        <w:numPr>
          <w:ilvl w:val="0"/>
          <w:numId w:val="0"/>
        </w:numPr>
        <w:ind w:left="360"/>
        <w:jc w:val="left"/>
      </w:pPr>
    </w:p>
    <w:p w14:paraId="61655439" w14:textId="77777777" w:rsidR="00FD76A0" w:rsidRDefault="0026650D">
      <w:pPr>
        <w:pStyle w:val="ListParagraph"/>
        <w:jc w:val="left"/>
      </w:pPr>
      <w:r>
        <w:rPr>
          <w:b/>
          <w:bCs/>
        </w:rPr>
        <w:t>Indirectly,</w:t>
      </w:r>
      <w:r>
        <w:t xml:space="preserve"> when an unreasonable requirement, condition or practice is imposed, or intended to be imposed, that has, or is likely to have, the effect of disadvantaging people with a personal characteristic protected by law (see list below).</w:t>
      </w:r>
    </w:p>
    <w:p w14:paraId="075CFA9C" w14:textId="77777777" w:rsidR="00FD76A0" w:rsidRDefault="0026650D" w:rsidP="00BB27AD">
      <w:pPr>
        <w:spacing w:before="120" w:after="120" w:line="276" w:lineRule="auto"/>
        <w:ind w:left="360"/>
        <w:rPr>
          <w:rFonts w:ascii="Arial" w:hAnsi="Arial" w:cs="Arial"/>
        </w:rPr>
      </w:pPr>
      <w:r>
        <w:rPr>
          <w:rFonts w:ascii="Arial" w:hAnsi="Arial" w:cs="Arial"/>
        </w:rPr>
        <w:t xml:space="preserve">For example, requiring that all employees work full time within </w:t>
      </w:r>
      <w:proofErr w:type="gramStart"/>
      <w:r>
        <w:rPr>
          <w:rFonts w:ascii="Arial" w:hAnsi="Arial" w:cs="Arial"/>
        </w:rPr>
        <w:t>particular hours</w:t>
      </w:r>
      <w:proofErr w:type="gramEnd"/>
      <w:r>
        <w:rPr>
          <w:rFonts w:ascii="Arial" w:hAnsi="Arial" w:cs="Arial"/>
        </w:rPr>
        <w:t xml:space="preserve"> which may disadvantage employees whose parental status means that they need to work flexibly.</w:t>
      </w:r>
    </w:p>
    <w:p w14:paraId="1506D55E" w14:textId="5778D976" w:rsidR="00FD76A0" w:rsidRDefault="0026650D">
      <w:pPr>
        <w:spacing w:before="120" w:after="120" w:line="276" w:lineRule="auto"/>
        <w:rPr>
          <w:rFonts w:ascii="Arial" w:hAnsi="Arial" w:cs="Arial"/>
        </w:rPr>
      </w:pPr>
      <w:r>
        <w:rPr>
          <w:rFonts w:ascii="Arial" w:hAnsi="Arial" w:cs="Arial"/>
        </w:rPr>
        <w:t>Protected personal characteristics under discrimination law include:</w:t>
      </w:r>
    </w:p>
    <w:p w14:paraId="42342E72" w14:textId="77777777" w:rsidR="00FD76A0" w:rsidRDefault="0026650D">
      <w:pPr>
        <w:pStyle w:val="ListParagraph"/>
        <w:jc w:val="left"/>
      </w:pPr>
      <w:r>
        <w:lastRenderedPageBreak/>
        <w:t>A disability (physical or mental), disease or injury, including work-related injury</w:t>
      </w:r>
    </w:p>
    <w:p w14:paraId="66E6A733" w14:textId="77777777" w:rsidR="00FD76A0" w:rsidRDefault="0026650D">
      <w:pPr>
        <w:pStyle w:val="ListParagraph"/>
      </w:pPr>
      <w:r>
        <w:t>Profession, trade or occupation</w:t>
      </w:r>
    </w:p>
    <w:p w14:paraId="39A93CEC" w14:textId="77777777" w:rsidR="00FD76A0" w:rsidRDefault="0026650D">
      <w:pPr>
        <w:pStyle w:val="ListParagraph"/>
        <w:jc w:val="left"/>
      </w:pPr>
      <w:r>
        <w:t xml:space="preserve">Parental status or status as a </w:t>
      </w:r>
      <w:proofErr w:type="spellStart"/>
      <w:r>
        <w:t>carer</w:t>
      </w:r>
      <w:proofErr w:type="spellEnd"/>
      <w:r>
        <w:t>, for example, because they are responsible for caring for children or other family members</w:t>
      </w:r>
    </w:p>
    <w:p w14:paraId="2C930B11" w14:textId="77777777" w:rsidR="00FD76A0" w:rsidRDefault="0026650D">
      <w:pPr>
        <w:pStyle w:val="ListParagraph"/>
        <w:jc w:val="left"/>
      </w:pPr>
      <w:r>
        <w:t>Race, colour, descent, ancestry, national origin, ethnicity or ethnic background</w:t>
      </w:r>
    </w:p>
    <w:p w14:paraId="201C6325" w14:textId="77777777" w:rsidR="00FD76A0" w:rsidRDefault="0026650D">
      <w:pPr>
        <w:pStyle w:val="ListParagraph"/>
        <w:jc w:val="left"/>
      </w:pPr>
      <w:r>
        <w:t>Immigrant status</w:t>
      </w:r>
    </w:p>
    <w:p w14:paraId="7C143F5B" w14:textId="77777777" w:rsidR="00FD76A0" w:rsidRDefault="0026650D">
      <w:pPr>
        <w:pStyle w:val="ListParagraph"/>
        <w:jc w:val="left"/>
      </w:pPr>
      <w:r>
        <w:t>Age, whether young or old, or because of age in general</w:t>
      </w:r>
    </w:p>
    <w:p w14:paraId="2FCF79C0" w14:textId="77777777" w:rsidR="00FD76A0" w:rsidRDefault="0026650D">
      <w:pPr>
        <w:pStyle w:val="ListParagraph"/>
        <w:jc w:val="left"/>
      </w:pPr>
      <w:r>
        <w:t>Physical features</w:t>
      </w:r>
    </w:p>
    <w:p w14:paraId="457E7F9C" w14:textId="77777777" w:rsidR="00FD76A0" w:rsidRDefault="0026650D">
      <w:pPr>
        <w:pStyle w:val="ListParagraph"/>
        <w:jc w:val="left"/>
      </w:pPr>
      <w:r>
        <w:t>Sex (gender) or sex characteristics</w:t>
      </w:r>
    </w:p>
    <w:p w14:paraId="20F25ABE" w14:textId="77777777" w:rsidR="00FD76A0" w:rsidRDefault="0026650D">
      <w:pPr>
        <w:pStyle w:val="ListParagraph"/>
        <w:jc w:val="left"/>
      </w:pPr>
      <w:r>
        <w:t>Industrial activity, including being a member of an industrial organisation like a trade union or taking part in industrial activity, or deciding not to join a union</w:t>
      </w:r>
    </w:p>
    <w:p w14:paraId="0C8FE10D" w14:textId="77777777" w:rsidR="00FD76A0" w:rsidRDefault="0026650D">
      <w:pPr>
        <w:pStyle w:val="ListParagraph"/>
        <w:jc w:val="left"/>
      </w:pPr>
      <w:r>
        <w:t>Employment activity</w:t>
      </w:r>
    </w:p>
    <w:p w14:paraId="06B961C7" w14:textId="77777777" w:rsidR="00FD76A0" w:rsidRDefault="0026650D">
      <w:pPr>
        <w:pStyle w:val="ListParagraph"/>
        <w:jc w:val="left"/>
      </w:pPr>
      <w:r>
        <w:t>Religion</w:t>
      </w:r>
    </w:p>
    <w:p w14:paraId="10E8CFA9" w14:textId="77777777" w:rsidR="00FD76A0" w:rsidRDefault="0026650D">
      <w:pPr>
        <w:pStyle w:val="ListParagraph"/>
        <w:jc w:val="left"/>
      </w:pPr>
      <w:r>
        <w:t>Pregnancy or potential pregnancy and breastfeeding</w:t>
      </w:r>
    </w:p>
    <w:p w14:paraId="4E733AFE" w14:textId="523B63DA" w:rsidR="00FD76A0" w:rsidRDefault="0026650D">
      <w:pPr>
        <w:pStyle w:val="ListParagraph"/>
        <w:jc w:val="left"/>
      </w:pPr>
      <w:r>
        <w:t>Sexual orientation or lawful sexual activity, including but not limited to gay, lesbian, bisexual, transsexual, transgender, queer and heterosexual</w:t>
      </w:r>
    </w:p>
    <w:p w14:paraId="35AB0FBF" w14:textId="77777777" w:rsidR="00FD76A0" w:rsidRDefault="0026650D">
      <w:pPr>
        <w:pStyle w:val="ListParagraph"/>
        <w:jc w:val="left"/>
      </w:pPr>
      <w:r>
        <w:t>Intersex status or gender identity</w:t>
      </w:r>
    </w:p>
    <w:p w14:paraId="7E87D452" w14:textId="4B7286D3" w:rsidR="00FD76A0" w:rsidRDefault="0026650D">
      <w:pPr>
        <w:pStyle w:val="ListParagraph"/>
        <w:jc w:val="left"/>
      </w:pPr>
      <w:r>
        <w:t>Marital, relationship or domestic partnership status, whether married, divorced, unmarried or in a de facto relationship or same sex relationship</w:t>
      </w:r>
    </w:p>
    <w:p w14:paraId="3BE947FF" w14:textId="03AB2453" w:rsidR="00FD76A0" w:rsidRDefault="0026650D">
      <w:pPr>
        <w:pStyle w:val="ListParagraph"/>
        <w:jc w:val="left"/>
      </w:pPr>
      <w:r>
        <w:t>Political belief or activity</w:t>
      </w:r>
    </w:p>
    <w:p w14:paraId="4F1B17EC" w14:textId="77777777" w:rsidR="00FD76A0" w:rsidRDefault="0026650D">
      <w:pPr>
        <w:pStyle w:val="ListParagraph"/>
        <w:jc w:val="left"/>
      </w:pPr>
      <w:r>
        <w:t>Medical record</w:t>
      </w:r>
    </w:p>
    <w:p w14:paraId="5D718B61" w14:textId="77777777" w:rsidR="00FD76A0" w:rsidRDefault="0026650D">
      <w:pPr>
        <w:pStyle w:val="ListParagraph"/>
        <w:jc w:val="left"/>
      </w:pPr>
      <w:r>
        <w:t>Criminal record, spent conviction or an expunged homosexual conviction</w:t>
      </w:r>
    </w:p>
    <w:p w14:paraId="67FCEF7D" w14:textId="42A8CCF9" w:rsidR="00FD76A0" w:rsidRDefault="0026650D">
      <w:pPr>
        <w:pStyle w:val="ListParagraph"/>
        <w:jc w:val="left"/>
      </w:pPr>
      <w:r>
        <w:t>An association with someone who has, or is assumed to have, one of the above protected attributes, such as being the parent of a child with a disability.</w:t>
      </w:r>
    </w:p>
    <w:p w14:paraId="6D7C73C9" w14:textId="77777777" w:rsidR="00FD76A0" w:rsidRDefault="0026650D">
      <w:pPr>
        <w:spacing w:before="120" w:after="120" w:line="276" w:lineRule="auto"/>
        <w:rPr>
          <w:rFonts w:ascii="Arial" w:hAnsi="Arial" w:cs="Arial"/>
        </w:rPr>
      </w:pPr>
      <w:r>
        <w:rPr>
          <w:rFonts w:ascii="Arial" w:hAnsi="Arial" w:cs="Arial"/>
        </w:rPr>
        <w:t>It is also against the law to treat someone unfavourably because you assume they have a protected attribute or may have it at some time in the future.</w:t>
      </w:r>
    </w:p>
    <w:p w14:paraId="5A72DD01" w14:textId="77777777" w:rsidR="00FD76A0" w:rsidRDefault="0026650D">
      <w:pPr>
        <w:spacing w:before="120" w:after="120" w:line="276" w:lineRule="auto"/>
        <w:ind w:left="360" w:hanging="360"/>
        <w:rPr>
          <w:rFonts w:ascii="Arial" w:hAnsi="Arial" w:cs="Arial"/>
          <w:b/>
          <w:bCs/>
          <w:sz w:val="24"/>
          <w:szCs w:val="24"/>
        </w:rPr>
      </w:pPr>
      <w:r>
        <w:rPr>
          <w:rFonts w:ascii="Arial" w:hAnsi="Arial" w:cs="Arial"/>
          <w:b/>
          <w:bCs/>
          <w:sz w:val="24"/>
          <w:szCs w:val="24"/>
        </w:rPr>
        <w:t>Disability Discrimination</w:t>
      </w:r>
    </w:p>
    <w:p w14:paraId="03955A4A" w14:textId="77777777" w:rsidR="00FD76A0" w:rsidRDefault="0026650D">
      <w:pPr>
        <w:spacing w:before="120" w:after="120" w:line="276" w:lineRule="auto"/>
        <w:rPr>
          <w:rFonts w:ascii="Arial" w:hAnsi="Arial" w:cs="Arial"/>
        </w:rPr>
      </w:pPr>
      <w:r>
        <w:rPr>
          <w:rFonts w:ascii="Arial" w:hAnsi="Arial" w:cs="Arial"/>
        </w:rPr>
        <w:t xml:space="preserve">Employers are also required in some circumstances to make “reasonable adjustments” to facilitate employees with disabilities to perform the “inherent requirements” of the </w:t>
      </w:r>
      <w:proofErr w:type="gramStart"/>
      <w:r>
        <w:rPr>
          <w:rFonts w:ascii="Arial" w:hAnsi="Arial" w:cs="Arial"/>
        </w:rPr>
        <w:t>particular role</w:t>
      </w:r>
      <w:proofErr w:type="gramEnd"/>
      <w:r>
        <w:rPr>
          <w:rFonts w:ascii="Arial" w:hAnsi="Arial" w:cs="Arial"/>
        </w:rPr>
        <w:t xml:space="preserve"> that they perform.  An employer will be deemed to have discriminated against an employee if they fail to make, or propose not to make, these adjustments.</w:t>
      </w:r>
    </w:p>
    <w:p w14:paraId="13B58414" w14:textId="77777777" w:rsidR="00FD76A0" w:rsidRDefault="0026650D">
      <w:pPr>
        <w:spacing w:before="120" w:after="120" w:line="276" w:lineRule="auto"/>
        <w:rPr>
          <w:rFonts w:ascii="Arial" w:hAnsi="Arial" w:cs="Arial"/>
        </w:rPr>
      </w:pPr>
      <w:r>
        <w:rPr>
          <w:rFonts w:ascii="Arial" w:hAnsi="Arial" w:cs="Arial"/>
        </w:rPr>
        <w:t>The “inherent requirements” of a position are the essential activities that must be carried out to fulfil the purpose of the position.</w:t>
      </w:r>
    </w:p>
    <w:p w14:paraId="3598B9C6" w14:textId="77777777" w:rsidR="00FD76A0" w:rsidRDefault="0026650D">
      <w:pPr>
        <w:spacing w:before="120" w:after="120" w:line="276" w:lineRule="auto"/>
        <w:rPr>
          <w:rFonts w:ascii="Arial" w:hAnsi="Arial" w:cs="Arial"/>
        </w:rPr>
      </w:pPr>
      <w:r>
        <w:rPr>
          <w:rFonts w:ascii="Arial" w:hAnsi="Arial" w:cs="Arial"/>
        </w:rPr>
        <w:t>An adjustment is not reasonable if it will impose “unjustifiable hardship” on the employer. In assessing unjustifiable hardship factors to be considered include the following:</w:t>
      </w:r>
    </w:p>
    <w:p w14:paraId="3F1BB7D9" w14:textId="77777777" w:rsidR="00FD76A0" w:rsidRDefault="0026650D">
      <w:pPr>
        <w:pStyle w:val="ListParagraph"/>
        <w:jc w:val="left"/>
      </w:pPr>
      <w:r>
        <w:t>The nature of the employee's role</w:t>
      </w:r>
    </w:p>
    <w:p w14:paraId="2568CE49" w14:textId="67218B5D" w:rsidR="00FD76A0" w:rsidRDefault="0026650D">
      <w:pPr>
        <w:pStyle w:val="ListParagraph"/>
        <w:jc w:val="left"/>
      </w:pPr>
      <w:r>
        <w:t>The number of persons who would benefit or subject to detriment by making the adjustment</w:t>
      </w:r>
    </w:p>
    <w:p w14:paraId="40BE80D0" w14:textId="6414A0F8" w:rsidR="00FD76A0" w:rsidRDefault="0026650D">
      <w:pPr>
        <w:pStyle w:val="ListParagraph"/>
        <w:jc w:val="left"/>
      </w:pPr>
      <w:r>
        <w:t>The employee's circumstances</w:t>
      </w:r>
    </w:p>
    <w:p w14:paraId="6760918A" w14:textId="77777777" w:rsidR="00FD76A0" w:rsidRDefault="0026650D">
      <w:pPr>
        <w:pStyle w:val="ListParagraph"/>
        <w:jc w:val="left"/>
      </w:pPr>
      <w:r>
        <w:t>The nature of the adjustment required</w:t>
      </w:r>
    </w:p>
    <w:p w14:paraId="7EBC3D23" w14:textId="77777777" w:rsidR="00FD76A0" w:rsidRDefault="0026650D">
      <w:pPr>
        <w:pStyle w:val="ListParagraph"/>
        <w:jc w:val="left"/>
      </w:pPr>
      <w:r>
        <w:t>The effect on the workplace and the employer's business of making the adjustment, including the impact on efficiency and productivity</w:t>
      </w:r>
    </w:p>
    <w:p w14:paraId="16825809" w14:textId="06704189" w:rsidR="00FD76A0" w:rsidRDefault="0026650D">
      <w:pPr>
        <w:pStyle w:val="ListParagraph"/>
        <w:jc w:val="left"/>
      </w:pPr>
      <w:r>
        <w:t>The consequences for the employer, including the financial circumstances and the estimated amount of expenditure required to be made by the employer</w:t>
      </w:r>
    </w:p>
    <w:p w14:paraId="21780F8A" w14:textId="77777777" w:rsidR="00FD76A0" w:rsidRDefault="0026650D">
      <w:pPr>
        <w:pStyle w:val="ListParagraph"/>
        <w:jc w:val="left"/>
      </w:pPr>
      <w:r>
        <w:t>The availability of financial and other assistance to the employer.</w:t>
      </w:r>
    </w:p>
    <w:p w14:paraId="15F8D270" w14:textId="77777777" w:rsidR="00FD76A0" w:rsidRDefault="0026650D">
      <w:pPr>
        <w:spacing w:before="120" w:after="120" w:line="276" w:lineRule="auto"/>
        <w:rPr>
          <w:rFonts w:ascii="Arial" w:hAnsi="Arial" w:cs="Arial"/>
        </w:rPr>
      </w:pPr>
      <w:r>
        <w:rPr>
          <w:rFonts w:ascii="Arial" w:hAnsi="Arial" w:cs="Arial"/>
        </w:rPr>
        <w:t>Examples of adjustments that may in some circumstances be reasonable for an employer to make include:</w:t>
      </w:r>
    </w:p>
    <w:p w14:paraId="05ADDA19" w14:textId="77777777" w:rsidR="00FD76A0" w:rsidRDefault="0026650D">
      <w:pPr>
        <w:pStyle w:val="ListParagraph"/>
        <w:jc w:val="left"/>
      </w:pPr>
      <w:r>
        <w:t>Changing recruitment and selection procedures. For example, providing a sign language interpreter for a Deaf person or ensuring the medical assessor is familiar with a person’s particular disability and how it relates to the job requirements.</w:t>
      </w:r>
    </w:p>
    <w:p w14:paraId="7994A887" w14:textId="77777777" w:rsidR="00FD76A0" w:rsidRDefault="0026650D">
      <w:pPr>
        <w:pStyle w:val="ListParagraph"/>
        <w:jc w:val="left"/>
      </w:pPr>
      <w:r>
        <w:lastRenderedPageBreak/>
        <w:t>Modifying work premises. For example, making ramps, modifying toilets or providing flashing lights to alert people with a hearing loss.</w:t>
      </w:r>
    </w:p>
    <w:p w14:paraId="57122CC4" w14:textId="77777777" w:rsidR="00FD76A0" w:rsidRDefault="0026650D">
      <w:pPr>
        <w:pStyle w:val="ListParagraph"/>
        <w:jc w:val="left"/>
      </w:pPr>
      <w:r>
        <w:t>Changes to job design, work schedules or other work practices. For example, swapping some duties among staff or providing regular meal breaks for a person with diabetes.</w:t>
      </w:r>
    </w:p>
    <w:p w14:paraId="6F4C406E" w14:textId="77777777" w:rsidR="00FD76A0" w:rsidRDefault="0026650D">
      <w:pPr>
        <w:pStyle w:val="ListParagraph"/>
        <w:jc w:val="left"/>
      </w:pPr>
      <w:r>
        <w:t>Modifying equipment. For example, lowering a workbench or providing an enlarged computer screen.</w:t>
      </w:r>
    </w:p>
    <w:p w14:paraId="5B50A502" w14:textId="77777777" w:rsidR="00FD76A0" w:rsidRDefault="0026650D">
      <w:pPr>
        <w:pStyle w:val="ListParagraph"/>
        <w:jc w:val="left"/>
      </w:pPr>
      <w:r>
        <w:t>Providing training or other assistance. For example, running induction programs for staff with a disability and their co-workers, providing a mentor or support person for a person with an intellectual disability, and including staff with a disability in all mainstream training.</w:t>
      </w:r>
    </w:p>
    <w:p w14:paraId="3FD7310B" w14:textId="77777777" w:rsidR="00FD76A0" w:rsidRDefault="0026650D">
      <w:pPr>
        <w:spacing w:before="120" w:after="120" w:line="276" w:lineRule="auto"/>
        <w:rPr>
          <w:rFonts w:ascii="Arial" w:hAnsi="Arial" w:cs="Arial"/>
        </w:rPr>
      </w:pPr>
      <w:r>
        <w:rPr>
          <w:rFonts w:ascii="Arial" w:hAnsi="Arial" w:cs="Arial"/>
        </w:rPr>
        <w:t>It is not unlawful to discriminate against a person because of their disability where:</w:t>
      </w:r>
    </w:p>
    <w:p w14:paraId="3D813B61" w14:textId="77777777" w:rsidR="00FD76A0" w:rsidRDefault="0026650D">
      <w:pPr>
        <w:pStyle w:val="ListParagraph"/>
        <w:jc w:val="left"/>
      </w:pPr>
      <w:r>
        <w:t>They cannot meet the inherent requirements of the job, even when the employer has made any reasonable adjustments, or</w:t>
      </w:r>
    </w:p>
    <w:p w14:paraId="21CFBD8D" w14:textId="77777777" w:rsidR="00FD76A0" w:rsidRDefault="0026650D">
      <w:pPr>
        <w:pStyle w:val="ListParagraph"/>
        <w:jc w:val="left"/>
      </w:pPr>
      <w:r>
        <w:t>Providing the person with reasonable adjustments to facilitate their disability imposes an unjustifiable hardship on the employer.</w:t>
      </w:r>
    </w:p>
    <w:p w14:paraId="2825AB2C" w14:textId="77777777" w:rsidR="006364F4" w:rsidRDefault="006364F4" w:rsidP="00753C14">
      <w:pPr>
        <w:pStyle w:val="ListParagraph"/>
        <w:numPr>
          <w:ilvl w:val="0"/>
          <w:numId w:val="0"/>
        </w:numPr>
        <w:ind w:left="360"/>
        <w:jc w:val="left"/>
      </w:pPr>
    </w:p>
    <w:p w14:paraId="6263FB63" w14:textId="77777777" w:rsidR="00FD76A0" w:rsidRDefault="0026650D">
      <w:pPr>
        <w:ind w:left="360" w:hanging="360"/>
        <w:rPr>
          <w:rFonts w:ascii="Arial" w:hAnsi="Arial" w:cs="Arial"/>
          <w:b/>
          <w:bCs/>
          <w:sz w:val="24"/>
          <w:szCs w:val="24"/>
        </w:rPr>
      </w:pPr>
      <w:r>
        <w:rPr>
          <w:rFonts w:ascii="Arial" w:hAnsi="Arial" w:cs="Arial"/>
          <w:b/>
          <w:bCs/>
          <w:sz w:val="24"/>
          <w:szCs w:val="24"/>
        </w:rPr>
        <w:t>Sexual Harassment</w:t>
      </w:r>
    </w:p>
    <w:p w14:paraId="30AFFEB9" w14:textId="77777777" w:rsidR="00FD76A0" w:rsidRDefault="0026650D">
      <w:pPr>
        <w:spacing w:before="120" w:after="120" w:line="276" w:lineRule="auto"/>
        <w:rPr>
          <w:rFonts w:ascii="Arial" w:hAnsi="Arial" w:cs="Arial"/>
        </w:rPr>
      </w:pPr>
      <w:r>
        <w:rPr>
          <w:rFonts w:ascii="Arial" w:hAnsi="Arial" w:cs="Arial"/>
        </w:rPr>
        <w:t xml:space="preserve">Sexual harassment is a specific and serious form of harassment. It is unwelcome sexual advance or request for sexual favours or unwelcome behaviour of a sexual nature, which could be expected to make a reasonable person feel offended, humiliated or intimidated. </w:t>
      </w:r>
    </w:p>
    <w:p w14:paraId="112AB143" w14:textId="647A10ED" w:rsidR="00EE359A" w:rsidRDefault="00EE359A">
      <w:pPr>
        <w:spacing w:before="120" w:after="120" w:line="276" w:lineRule="auto"/>
        <w:rPr>
          <w:rFonts w:ascii="Arial" w:hAnsi="Arial" w:cs="Arial"/>
        </w:rPr>
      </w:pPr>
      <w:r>
        <w:rPr>
          <w:rFonts w:ascii="Arial" w:hAnsi="Arial" w:cs="Arial"/>
        </w:rPr>
        <w:t>We acknowledge that most women</w:t>
      </w:r>
      <w:r w:rsidR="00B1749F">
        <w:rPr>
          <w:rFonts w:ascii="Arial" w:hAnsi="Arial" w:cs="Arial"/>
        </w:rPr>
        <w:t>, transgender and non-binary people</w:t>
      </w:r>
      <w:r>
        <w:rPr>
          <w:rFonts w:ascii="Arial" w:hAnsi="Arial" w:cs="Arial"/>
        </w:rPr>
        <w:t xml:space="preserve"> in Australia and internationally report experiencing some form of gendered harassment at work. Women are more likely than men to experience sexual harassment in the workplace.  People who identify as transgender or non-binary are also more likely than men to be sexually harassed in the workplace. </w:t>
      </w:r>
    </w:p>
    <w:p w14:paraId="6ACBDF6A" w14:textId="77777777" w:rsidR="00FD76A0" w:rsidRDefault="0026650D">
      <w:pPr>
        <w:spacing w:before="120" w:after="120" w:line="276" w:lineRule="auto"/>
        <w:rPr>
          <w:rFonts w:ascii="Arial" w:hAnsi="Arial" w:cs="Arial"/>
        </w:rPr>
      </w:pPr>
      <w:r>
        <w:rPr>
          <w:rFonts w:ascii="Arial" w:hAnsi="Arial" w:cs="Arial"/>
        </w:rPr>
        <w:t>Sexual harassment can be physical, spoken or written. It can include:</w:t>
      </w:r>
    </w:p>
    <w:p w14:paraId="2A46C80A" w14:textId="77777777" w:rsidR="00FD76A0" w:rsidRDefault="0026650D">
      <w:pPr>
        <w:pStyle w:val="ListParagraph"/>
        <w:jc w:val="left"/>
      </w:pPr>
      <w:r>
        <w:t>Comments about a person’s private life or the way they look</w:t>
      </w:r>
    </w:p>
    <w:p w14:paraId="7874FC13" w14:textId="77777777" w:rsidR="00FD76A0" w:rsidRDefault="0026650D">
      <w:pPr>
        <w:pStyle w:val="ListParagraph"/>
        <w:jc w:val="left"/>
      </w:pPr>
      <w:r>
        <w:t>Sexually suggestive behaviour, such as leering or staring</w:t>
      </w:r>
    </w:p>
    <w:p w14:paraId="3AF759F1" w14:textId="77777777" w:rsidR="00FD76A0" w:rsidRDefault="0026650D">
      <w:pPr>
        <w:pStyle w:val="ListParagraph"/>
        <w:jc w:val="left"/>
      </w:pPr>
      <w:r>
        <w:t>Brushing up against someone, touching, fondling or hugging</w:t>
      </w:r>
    </w:p>
    <w:p w14:paraId="3E4241E6" w14:textId="77777777" w:rsidR="00FD76A0" w:rsidRDefault="0026650D">
      <w:pPr>
        <w:pStyle w:val="ListParagraph"/>
        <w:jc w:val="left"/>
      </w:pPr>
      <w:r>
        <w:t>Sexually suggestive comments or jokes</w:t>
      </w:r>
    </w:p>
    <w:p w14:paraId="0EE6FC1C" w14:textId="77777777" w:rsidR="00FD76A0" w:rsidRDefault="0026650D">
      <w:pPr>
        <w:pStyle w:val="ListParagraph"/>
        <w:jc w:val="left"/>
      </w:pPr>
      <w:r>
        <w:t>Displaying offensive screen savers, photos, calendars or objects</w:t>
      </w:r>
    </w:p>
    <w:p w14:paraId="4E6272B2" w14:textId="77777777" w:rsidR="00FD76A0" w:rsidRDefault="0026650D">
      <w:pPr>
        <w:pStyle w:val="ListParagraph"/>
        <w:jc w:val="left"/>
      </w:pPr>
      <w:r>
        <w:t>Repeated unwanted requests or propositions to go out</w:t>
      </w:r>
    </w:p>
    <w:p w14:paraId="31D6FD2B" w14:textId="77777777" w:rsidR="00FD76A0" w:rsidRDefault="0026650D">
      <w:pPr>
        <w:pStyle w:val="ListParagraph"/>
        <w:jc w:val="left"/>
      </w:pPr>
      <w:r>
        <w:t>Requests or propositions for sex</w:t>
      </w:r>
    </w:p>
    <w:p w14:paraId="1FBB20AE" w14:textId="77777777" w:rsidR="00FD76A0" w:rsidRDefault="0026650D">
      <w:pPr>
        <w:pStyle w:val="ListParagraph"/>
        <w:jc w:val="left"/>
      </w:pPr>
      <w:r>
        <w:t>Sexually explicit posts on social networking sites</w:t>
      </w:r>
    </w:p>
    <w:p w14:paraId="68E186AE" w14:textId="77777777" w:rsidR="00FD76A0" w:rsidRDefault="0026650D">
      <w:pPr>
        <w:pStyle w:val="ListParagraph"/>
        <w:jc w:val="left"/>
      </w:pPr>
      <w:r>
        <w:t>Insults or taunts of a sexual nature</w:t>
      </w:r>
    </w:p>
    <w:p w14:paraId="2EF8A863" w14:textId="77777777" w:rsidR="00FD76A0" w:rsidRDefault="0026650D">
      <w:pPr>
        <w:pStyle w:val="ListParagraph"/>
        <w:jc w:val="left"/>
      </w:pPr>
      <w:r>
        <w:t>Intrusive questions or statements about a person’s private life</w:t>
      </w:r>
    </w:p>
    <w:p w14:paraId="1460BC61" w14:textId="77777777" w:rsidR="00FD76A0" w:rsidRDefault="0026650D">
      <w:pPr>
        <w:pStyle w:val="ListParagraph"/>
        <w:jc w:val="left"/>
      </w:pPr>
      <w:r>
        <w:t>Sending sexually explicit emails or text messages</w:t>
      </w:r>
    </w:p>
    <w:p w14:paraId="5E27839E" w14:textId="77777777" w:rsidR="00FD76A0" w:rsidRDefault="0026650D">
      <w:pPr>
        <w:pStyle w:val="ListParagraph"/>
        <w:jc w:val="left"/>
      </w:pPr>
      <w:r>
        <w:t>Inappropriate advances on social networking sites</w:t>
      </w:r>
    </w:p>
    <w:p w14:paraId="2CF12EF3" w14:textId="77777777" w:rsidR="00FD76A0" w:rsidRDefault="0026650D">
      <w:pPr>
        <w:pStyle w:val="ListParagraph"/>
        <w:jc w:val="left"/>
      </w:pPr>
      <w:r>
        <w:t>Accessing sexually explicit internet sites</w:t>
      </w:r>
    </w:p>
    <w:p w14:paraId="3BA2DEFE" w14:textId="77777777" w:rsidR="00FD76A0" w:rsidRDefault="0026650D">
      <w:pPr>
        <w:pStyle w:val="ListParagraph"/>
        <w:jc w:val="left"/>
      </w:pPr>
      <w:r>
        <w:t xml:space="preserve">Behaviour that may also </w:t>
      </w:r>
      <w:proofErr w:type="gramStart"/>
      <w:r>
        <w:t>be considered to be</w:t>
      </w:r>
      <w:proofErr w:type="gramEnd"/>
      <w:r>
        <w:t xml:space="preserve"> an offence under criminal law, such as physical assault, indecent exposure, sexual assault, stalking or obscene communications.</w:t>
      </w:r>
    </w:p>
    <w:p w14:paraId="72519162" w14:textId="77777777" w:rsidR="00FD76A0" w:rsidRDefault="0026650D">
      <w:pPr>
        <w:spacing w:before="120" w:after="120" w:line="276" w:lineRule="auto"/>
        <w:rPr>
          <w:rFonts w:ascii="Arial" w:hAnsi="Arial" w:cs="Arial"/>
        </w:rPr>
      </w:pPr>
      <w:r>
        <w:rPr>
          <w:rFonts w:ascii="Arial" w:hAnsi="Arial" w:cs="Arial"/>
        </w:rPr>
        <w:t>Just because someone does not object to inappropriate behaviour in the workplace at the time, it does not mean that they are consenting to the behaviour.</w:t>
      </w:r>
    </w:p>
    <w:p w14:paraId="3E435802" w14:textId="77777777" w:rsidR="00FD76A0" w:rsidRDefault="0026650D">
      <w:pPr>
        <w:spacing w:before="120" w:after="120" w:line="276" w:lineRule="auto"/>
        <w:rPr>
          <w:rFonts w:ascii="Arial" w:hAnsi="Arial" w:cs="Arial"/>
        </w:rPr>
      </w:pPr>
      <w:r>
        <w:rPr>
          <w:rFonts w:ascii="Arial" w:hAnsi="Arial" w:cs="Arial"/>
        </w:rPr>
        <w:t>Sexual harassment occurs in the workplace when it happens at work, at work-related events, between people sharing the same workplace, or between colleagues outside of work, including on social media.</w:t>
      </w:r>
    </w:p>
    <w:p w14:paraId="2656E77C" w14:textId="4643DFA8" w:rsidR="00FD76A0" w:rsidRDefault="0026650D">
      <w:pPr>
        <w:spacing w:before="120" w:after="120" w:line="276" w:lineRule="auto"/>
        <w:rPr>
          <w:rFonts w:ascii="Arial" w:hAnsi="Arial" w:cs="Arial"/>
        </w:rPr>
      </w:pPr>
      <w:r>
        <w:rPr>
          <w:rFonts w:ascii="Arial" w:hAnsi="Arial" w:cs="Arial"/>
        </w:rPr>
        <w:t>All ACPCC Employees, contractors, students and visitors have the same rights and responsibilities in relation to sexual harassment and sex-based harassment.</w:t>
      </w:r>
    </w:p>
    <w:p w14:paraId="6EFB5889" w14:textId="77777777" w:rsidR="00FD76A0" w:rsidRDefault="0026650D">
      <w:pPr>
        <w:spacing w:before="120" w:after="120" w:line="276" w:lineRule="auto"/>
        <w:rPr>
          <w:rFonts w:ascii="Arial" w:hAnsi="Arial" w:cs="Arial"/>
        </w:rPr>
      </w:pPr>
      <w:r>
        <w:rPr>
          <w:rFonts w:ascii="Arial" w:hAnsi="Arial" w:cs="Arial"/>
        </w:rPr>
        <w:t>A single incident is enough to constitute sexual harassment – it doesn’t have to be repeated.</w:t>
      </w:r>
    </w:p>
    <w:p w14:paraId="3B806D77" w14:textId="77777777" w:rsidR="00FD76A0" w:rsidRDefault="0026650D">
      <w:pPr>
        <w:spacing w:before="120" w:after="120" w:line="276" w:lineRule="auto"/>
        <w:rPr>
          <w:rFonts w:ascii="Arial" w:hAnsi="Arial" w:cs="Arial"/>
        </w:rPr>
      </w:pPr>
      <w:r>
        <w:rPr>
          <w:rFonts w:ascii="Arial" w:hAnsi="Arial" w:cs="Arial"/>
        </w:rPr>
        <w:lastRenderedPageBreak/>
        <w:t xml:space="preserve">All incidents of sexual harassment – no matter how large or small or who is involved – require employers and managers to respond quickly and appropriately.  Sexual harassment can constitute serious misconduct, which may lead to termination of employment. </w:t>
      </w:r>
    </w:p>
    <w:p w14:paraId="48F44512" w14:textId="2AFFBB49" w:rsidR="00FD76A0" w:rsidRDefault="0026650D">
      <w:pPr>
        <w:spacing w:before="120" w:after="120" w:line="276" w:lineRule="auto"/>
        <w:rPr>
          <w:rFonts w:ascii="Arial" w:hAnsi="Arial" w:cs="Arial"/>
        </w:rPr>
      </w:pPr>
      <w:r>
        <w:rPr>
          <w:rFonts w:ascii="Arial" w:hAnsi="Arial" w:cs="Arial"/>
        </w:rPr>
        <w:t>The ACPCC recognises that comments and behaviour that do not offend one person can offend another. This Policy requires all staff and volunteers to respect other people’s limits.</w:t>
      </w:r>
    </w:p>
    <w:p w14:paraId="5E0AB162" w14:textId="0E8BA3A2" w:rsidR="00FD76A0" w:rsidRDefault="0026650D">
      <w:pPr>
        <w:spacing w:before="120" w:after="120" w:line="276" w:lineRule="auto"/>
        <w:rPr>
          <w:rFonts w:ascii="Arial" w:hAnsi="Arial" w:cs="Arial"/>
        </w:rPr>
      </w:pPr>
      <w:r>
        <w:rPr>
          <w:rFonts w:ascii="Arial" w:hAnsi="Arial" w:cs="Arial"/>
        </w:rPr>
        <w:t>The ACPCC will not tolerate or accept any form of sexual harassment, in the workplace or in any work-related context such as conferences, work functions and business trips. All staff members are responsible for their own behaviour, and under the law may be held personally liable if they engage in sexual harassment. The ACPCC may also be vicariously liable for staff members found to have engaged in any form of sexual harassment.</w:t>
      </w:r>
    </w:p>
    <w:p w14:paraId="5B43E161" w14:textId="77777777" w:rsidR="00FD76A0" w:rsidRDefault="0026650D">
      <w:pPr>
        <w:spacing w:before="120" w:after="120" w:line="276" w:lineRule="auto"/>
        <w:rPr>
          <w:rFonts w:ascii="Arial" w:hAnsi="Arial" w:cs="Arial"/>
          <w:b/>
          <w:bCs/>
          <w:sz w:val="24"/>
          <w:szCs w:val="24"/>
        </w:rPr>
      </w:pPr>
      <w:r>
        <w:rPr>
          <w:rFonts w:ascii="Arial" w:hAnsi="Arial" w:cs="Arial"/>
          <w:b/>
          <w:bCs/>
          <w:sz w:val="24"/>
          <w:szCs w:val="24"/>
        </w:rPr>
        <w:t>Victimisation</w:t>
      </w:r>
    </w:p>
    <w:p w14:paraId="562A2BD7" w14:textId="77777777" w:rsidR="00FD76A0" w:rsidRDefault="0026650D">
      <w:pPr>
        <w:spacing w:before="120" w:after="120" w:line="276" w:lineRule="auto"/>
        <w:rPr>
          <w:rFonts w:ascii="Arial" w:hAnsi="Arial" w:cs="Arial"/>
        </w:rPr>
      </w:pPr>
      <w:r>
        <w:rPr>
          <w:rFonts w:ascii="Arial" w:hAnsi="Arial" w:cs="Arial"/>
        </w:rPr>
        <w:t>Victimisation is subjecting or threatening to subject someone to a detriment because they have asserted their rights under equal opportunity law, made or intend to make a complaint, helped someone else make a complaint, or refused to do something because it would be discrimination, sexual harassment or victimisation. Victimisation is against the law.</w:t>
      </w:r>
    </w:p>
    <w:p w14:paraId="2AE0BCA3" w14:textId="77777777" w:rsidR="00FD76A0" w:rsidRDefault="0026650D">
      <w:pPr>
        <w:spacing w:before="120" w:after="120" w:line="276" w:lineRule="auto"/>
        <w:rPr>
          <w:rFonts w:ascii="Arial" w:hAnsi="Arial" w:cs="Arial"/>
        </w:rPr>
      </w:pPr>
      <w:r>
        <w:rPr>
          <w:rFonts w:ascii="Arial" w:hAnsi="Arial" w:cs="Arial"/>
        </w:rPr>
        <w:t>It is also victimisation to threaten someone (such as a witness) who may be involved in investigating an equal opportunity concern or complaint.</w:t>
      </w:r>
    </w:p>
    <w:p w14:paraId="0AB1716A" w14:textId="68701917" w:rsidR="00FD76A0" w:rsidRDefault="0026650D">
      <w:pPr>
        <w:spacing w:before="120" w:after="120" w:line="276" w:lineRule="auto"/>
        <w:rPr>
          <w:rFonts w:ascii="Arial" w:hAnsi="Arial" w:cs="Arial"/>
        </w:rPr>
      </w:pPr>
      <w:r>
        <w:rPr>
          <w:rFonts w:ascii="Arial" w:hAnsi="Arial" w:cs="Arial"/>
        </w:rPr>
        <w:t>Victimisation is a very serious breach of this Policy and is likely (depending on the severity and circumstances) to result in formal discipline against the perpetrator, including up to termination of employment.</w:t>
      </w:r>
    </w:p>
    <w:p w14:paraId="5458ABD3" w14:textId="10BE4323" w:rsidR="00FD76A0" w:rsidRDefault="0026650D">
      <w:pPr>
        <w:spacing w:before="120" w:after="120" w:line="276" w:lineRule="auto"/>
        <w:rPr>
          <w:rFonts w:ascii="Arial" w:hAnsi="Arial" w:cs="Arial"/>
        </w:rPr>
      </w:pPr>
      <w:r>
        <w:rPr>
          <w:rFonts w:ascii="Arial" w:hAnsi="Arial" w:cs="Arial"/>
        </w:rPr>
        <w:t>The ACPCC has a zero-tolerance approach to victimisation.</w:t>
      </w:r>
    </w:p>
    <w:p w14:paraId="1544F30E" w14:textId="3E5814A0" w:rsidR="00A504FF" w:rsidRDefault="00A504FF">
      <w:pPr>
        <w:spacing w:before="120" w:after="120" w:line="276" w:lineRule="auto"/>
        <w:rPr>
          <w:rFonts w:ascii="Arial" w:hAnsi="Arial" w:cs="Arial"/>
        </w:rPr>
      </w:pPr>
      <w:r>
        <w:rPr>
          <w:rFonts w:ascii="Arial" w:hAnsi="Arial" w:cs="Arial"/>
        </w:rPr>
        <w:t xml:space="preserve">Gender-based violence </w:t>
      </w:r>
      <w:r w:rsidR="00443374">
        <w:rPr>
          <w:rFonts w:ascii="Arial" w:hAnsi="Arial" w:cs="Arial"/>
        </w:rPr>
        <w:t xml:space="preserve">is a big problem in the community.  </w:t>
      </w:r>
      <w:r w:rsidR="00475850">
        <w:rPr>
          <w:rFonts w:ascii="Arial" w:hAnsi="Arial" w:cs="Arial"/>
        </w:rPr>
        <w:t xml:space="preserve">Gender-based violence </w:t>
      </w:r>
      <w:r>
        <w:rPr>
          <w:rFonts w:ascii="Arial" w:hAnsi="Arial" w:cs="Arial"/>
        </w:rPr>
        <w:t>overwhelmingly affects</w:t>
      </w:r>
      <w:r w:rsidR="008D47DC">
        <w:rPr>
          <w:rFonts w:ascii="Arial" w:hAnsi="Arial" w:cs="Arial"/>
        </w:rPr>
        <w:t xml:space="preserve"> people of diverse genders </w:t>
      </w:r>
      <w:r>
        <w:rPr>
          <w:rFonts w:ascii="Arial" w:hAnsi="Arial" w:cs="Arial"/>
        </w:rPr>
        <w:t>and has major impacts on women</w:t>
      </w:r>
      <w:r w:rsidR="008D47DC">
        <w:rPr>
          <w:rFonts w:ascii="Arial" w:hAnsi="Arial" w:cs="Arial"/>
        </w:rPr>
        <w:t xml:space="preserve">, </w:t>
      </w:r>
      <w:r w:rsidR="00452D48">
        <w:rPr>
          <w:rFonts w:ascii="Arial" w:hAnsi="Arial" w:cs="Arial"/>
        </w:rPr>
        <w:t>transgender and non-binary people</w:t>
      </w:r>
      <w:r>
        <w:rPr>
          <w:rFonts w:ascii="Arial" w:hAnsi="Arial" w:cs="Arial"/>
        </w:rPr>
        <w:t xml:space="preserve"> in their working lives, in their ability to participate in health programs, and on their health outcomes. </w:t>
      </w:r>
    </w:p>
    <w:p w14:paraId="68C49FF5" w14:textId="77777777" w:rsidR="00FD76A0" w:rsidRDefault="0026650D">
      <w:pPr>
        <w:spacing w:before="120" w:after="120" w:line="276" w:lineRule="auto"/>
        <w:rPr>
          <w:rFonts w:ascii="Arial" w:hAnsi="Arial" w:cs="Arial"/>
          <w:b/>
          <w:bCs/>
          <w:sz w:val="24"/>
          <w:szCs w:val="24"/>
        </w:rPr>
      </w:pPr>
      <w:r>
        <w:rPr>
          <w:rFonts w:ascii="Arial" w:hAnsi="Arial" w:cs="Arial"/>
          <w:b/>
          <w:bCs/>
          <w:sz w:val="24"/>
          <w:szCs w:val="24"/>
        </w:rPr>
        <w:t>Vilification</w:t>
      </w:r>
    </w:p>
    <w:p w14:paraId="5A395FD5" w14:textId="453387AA" w:rsidR="00FD76A0" w:rsidRDefault="0026650D">
      <w:pPr>
        <w:spacing w:before="120" w:after="120" w:line="276" w:lineRule="auto"/>
        <w:rPr>
          <w:rFonts w:ascii="Arial" w:hAnsi="Arial" w:cs="Arial"/>
        </w:rPr>
      </w:pPr>
      <w:r>
        <w:rPr>
          <w:rFonts w:ascii="Arial" w:hAnsi="Arial" w:cs="Arial"/>
        </w:rPr>
        <w:t>Vilification is public act which is reasonably likely to:</w:t>
      </w:r>
    </w:p>
    <w:p w14:paraId="661E4272" w14:textId="64E852C2" w:rsidR="00FD76A0" w:rsidRDefault="0026650D" w:rsidP="0026650D">
      <w:pPr>
        <w:pStyle w:val="ListParagraph"/>
        <w:jc w:val="left"/>
      </w:pPr>
      <w:r>
        <w:t>offend, insult, humiliate or intimidate or</w:t>
      </w:r>
    </w:p>
    <w:p w14:paraId="31E807FA" w14:textId="77777777" w:rsidR="00FD76A0" w:rsidRDefault="0026650D" w:rsidP="0026650D">
      <w:pPr>
        <w:pStyle w:val="ListParagraph"/>
        <w:jc w:val="left"/>
      </w:pPr>
      <w:r>
        <w:t>incites hatred, serious contempt, revulsion or severe ridicule towards,</w:t>
      </w:r>
    </w:p>
    <w:p w14:paraId="2D86BF43" w14:textId="3FBBB9B0" w:rsidR="00FD76A0" w:rsidRDefault="0026650D">
      <w:pPr>
        <w:spacing w:before="120" w:after="120" w:line="276" w:lineRule="auto"/>
        <w:rPr>
          <w:rFonts w:ascii="Arial" w:hAnsi="Arial" w:cs="Arial"/>
        </w:rPr>
      </w:pPr>
      <w:r>
        <w:rPr>
          <w:rFonts w:ascii="Arial" w:hAnsi="Arial" w:cs="Arial"/>
        </w:rPr>
        <w:t>another person or group of people because of their race, sex, religion, sexuality or sexual identity. Hatred or vilification due to an attribute protected under the various equal opportunity laws is unlawful.</w:t>
      </w:r>
    </w:p>
    <w:p w14:paraId="25644515" w14:textId="4FA64A9A" w:rsidR="00FD76A0" w:rsidRDefault="0026650D">
      <w:pPr>
        <w:spacing w:before="120" w:after="120" w:line="276" w:lineRule="auto"/>
        <w:rPr>
          <w:rFonts w:ascii="Arial" w:hAnsi="Arial" w:cs="Arial"/>
        </w:rPr>
      </w:pPr>
      <w:r>
        <w:rPr>
          <w:rFonts w:ascii="Arial" w:hAnsi="Arial" w:cs="Arial"/>
        </w:rPr>
        <w:t>The ACPCC will not tolerate or accept any form of hatred or vilification due to a protected attribute of another person.</w:t>
      </w:r>
    </w:p>
    <w:p w14:paraId="12BB0502" w14:textId="77777777" w:rsidR="00FD76A0" w:rsidRDefault="0026650D">
      <w:pPr>
        <w:spacing w:before="120" w:after="120" w:line="276" w:lineRule="auto"/>
        <w:rPr>
          <w:rFonts w:ascii="Arial" w:hAnsi="Arial" w:cs="Arial"/>
        </w:rPr>
      </w:pPr>
      <w:r>
        <w:rPr>
          <w:rFonts w:ascii="Arial" w:hAnsi="Arial" w:cs="Arial"/>
        </w:rPr>
        <w:t>Any conduct that can possibly be observed by the public or any sort of communication either verbal or in writing to the public can be considered a public act. Workplaces can be public places.</w:t>
      </w:r>
    </w:p>
    <w:p w14:paraId="2BBBD10E" w14:textId="0BBAD467" w:rsidR="00FD76A0" w:rsidRDefault="0026650D">
      <w:pPr>
        <w:spacing w:before="120" w:after="120" w:line="276" w:lineRule="auto"/>
        <w:rPr>
          <w:rFonts w:ascii="Arial" w:hAnsi="Arial" w:cs="Arial"/>
        </w:rPr>
      </w:pPr>
      <w:r>
        <w:rPr>
          <w:rFonts w:ascii="Arial" w:hAnsi="Arial" w:cs="Arial"/>
        </w:rPr>
        <w:t>The ACPCC may be vicariously liable for staff members found to have engaged in any form of unlawful hatred or vilification. Staff may also be sued personally or prosecuted criminally under Commonwealth or State criminal laws.</w:t>
      </w:r>
    </w:p>
    <w:p w14:paraId="5F4FC9D2" w14:textId="77777777" w:rsidR="00FD76A0" w:rsidRDefault="0026650D">
      <w:pPr>
        <w:spacing w:before="120" w:after="120" w:line="276" w:lineRule="auto"/>
        <w:rPr>
          <w:rFonts w:ascii="Arial" w:hAnsi="Arial" w:cs="Arial"/>
        </w:rPr>
      </w:pPr>
      <w:r>
        <w:rPr>
          <w:rFonts w:ascii="Arial" w:hAnsi="Arial" w:cs="Arial"/>
        </w:rPr>
        <w:t xml:space="preserve">Conduct that may constitute vilification can include verbal or written </w:t>
      </w:r>
      <w:proofErr w:type="gramStart"/>
      <w:r>
        <w:rPr>
          <w:rFonts w:ascii="Arial" w:hAnsi="Arial" w:cs="Arial"/>
        </w:rPr>
        <w:t>statements, or</w:t>
      </w:r>
      <w:proofErr w:type="gramEnd"/>
      <w:r>
        <w:rPr>
          <w:rFonts w:ascii="Arial" w:hAnsi="Arial" w:cs="Arial"/>
        </w:rPr>
        <w:t xml:space="preserve"> even be the reproduction or distribution of already published information. Examples include:</w:t>
      </w:r>
    </w:p>
    <w:p w14:paraId="12FE5EEC" w14:textId="77777777" w:rsidR="00FD76A0" w:rsidRDefault="0026650D">
      <w:pPr>
        <w:pStyle w:val="ListParagraph"/>
        <w:jc w:val="left"/>
      </w:pPr>
      <w:r>
        <w:t>Offensive material on the internet, including e-forums, blogs, social networking sites and video sharing sites</w:t>
      </w:r>
    </w:p>
    <w:p w14:paraId="438C5136" w14:textId="77777777" w:rsidR="00FD76A0" w:rsidRDefault="0026650D">
      <w:pPr>
        <w:pStyle w:val="ListParagraph"/>
        <w:jc w:val="left"/>
      </w:pPr>
      <w:r>
        <w:t>Offensive comments or images published in a publication such as a leaflet, flyer, internal message board or workplace intranet</w:t>
      </w:r>
    </w:p>
    <w:p w14:paraId="79145769" w14:textId="77777777" w:rsidR="00FD76A0" w:rsidRDefault="0026650D">
      <w:pPr>
        <w:pStyle w:val="ListParagraph"/>
        <w:jc w:val="left"/>
      </w:pPr>
      <w:r>
        <w:t>Offensive speeches at public events, work functions or in the workplace</w:t>
      </w:r>
    </w:p>
    <w:p w14:paraId="1C6A4C56" w14:textId="77777777" w:rsidR="00FD76A0" w:rsidRDefault="0026650D">
      <w:pPr>
        <w:pStyle w:val="ListParagraph"/>
        <w:jc w:val="left"/>
      </w:pPr>
      <w:r>
        <w:lastRenderedPageBreak/>
        <w:t>Abusive comments in any public place, such the workplace, or any other place attended in connection with employment, or</w:t>
      </w:r>
    </w:p>
    <w:p w14:paraId="2FAFA03F" w14:textId="2D10C0F2" w:rsidR="00B9168D" w:rsidRDefault="0026650D" w:rsidP="00B9168D">
      <w:pPr>
        <w:pStyle w:val="ListParagraph"/>
        <w:jc w:val="left"/>
      </w:pPr>
      <w:r>
        <w:t>In some instances, the reproduction or distribution of already published information around the workplace.</w:t>
      </w:r>
    </w:p>
    <w:p w14:paraId="3DC808D3" w14:textId="77777777" w:rsidR="00FD76A0" w:rsidRDefault="0026650D">
      <w:pPr>
        <w:spacing w:before="120" w:after="120" w:line="276" w:lineRule="auto"/>
        <w:ind w:left="357" w:hanging="360"/>
        <w:rPr>
          <w:rFonts w:ascii="Arial" w:hAnsi="Arial" w:cs="Arial"/>
        </w:rPr>
      </w:pPr>
      <w:r>
        <w:rPr>
          <w:rFonts w:ascii="Arial" w:hAnsi="Arial" w:cs="Arial"/>
          <w:b/>
          <w:bCs/>
          <w:sz w:val="24"/>
          <w:szCs w:val="24"/>
        </w:rPr>
        <w:t>Confidentiality</w:t>
      </w:r>
    </w:p>
    <w:p w14:paraId="3E076A88" w14:textId="26FB0155" w:rsidR="00FD76A0" w:rsidRDefault="0026650D">
      <w:pPr>
        <w:spacing w:before="120" w:after="120" w:line="276" w:lineRule="auto"/>
        <w:rPr>
          <w:rFonts w:ascii="Arial" w:hAnsi="Arial" w:cs="Arial"/>
        </w:rPr>
      </w:pPr>
      <w:r>
        <w:rPr>
          <w:rFonts w:ascii="Arial" w:hAnsi="Arial" w:cs="Arial"/>
        </w:rPr>
        <w:t>It is unacceptable for staff at the ACPCC to talk with other staff members, clients or suppliers about any complaint of discrimination or harassment without ACPCC’s express permission.</w:t>
      </w:r>
    </w:p>
    <w:p w14:paraId="3D8EC21E" w14:textId="77777777" w:rsidR="00FD76A0" w:rsidRDefault="0026650D">
      <w:pPr>
        <w:spacing w:before="120" w:after="120" w:line="276" w:lineRule="auto"/>
        <w:rPr>
          <w:rFonts w:ascii="Arial" w:hAnsi="Arial" w:cs="Arial"/>
        </w:rPr>
      </w:pPr>
      <w:r>
        <w:rPr>
          <w:rFonts w:ascii="Arial" w:hAnsi="Arial" w:cs="Arial"/>
        </w:rPr>
        <w:t>Breaching the confidentiality of a formal complaint investigation or inappropriately disclosing personal information obtained in a professional role (for example, as a manager) is a serious breach of this Policy and may lead to formal discipline.</w:t>
      </w:r>
    </w:p>
    <w:p w14:paraId="28B9C327" w14:textId="77777777" w:rsidR="00FD76A0" w:rsidRDefault="0026650D">
      <w:pPr>
        <w:spacing w:before="120" w:after="120" w:line="276" w:lineRule="auto"/>
        <w:rPr>
          <w:rFonts w:ascii="Arial" w:hAnsi="Arial" w:cs="Arial"/>
        </w:rPr>
      </w:pPr>
      <w:r>
        <w:rPr>
          <w:rFonts w:ascii="Arial" w:hAnsi="Arial" w:cs="Arial"/>
          <w:b/>
          <w:bCs/>
          <w:sz w:val="24"/>
          <w:szCs w:val="24"/>
        </w:rPr>
        <w:t>Decisions to be based on Merit</w:t>
      </w:r>
    </w:p>
    <w:p w14:paraId="7980893B" w14:textId="74F91984" w:rsidR="00FD76A0" w:rsidRDefault="0026650D">
      <w:pPr>
        <w:spacing w:before="120" w:after="120" w:line="276" w:lineRule="auto"/>
        <w:rPr>
          <w:rFonts w:ascii="Arial" w:hAnsi="Arial" w:cs="Arial"/>
        </w:rPr>
      </w:pPr>
      <w:r>
        <w:rPr>
          <w:rFonts w:ascii="Arial" w:hAnsi="Arial" w:cs="Arial"/>
        </w:rPr>
        <w:t>All recruitment and job selection decisions at the ACPCC will be based on merit – the skills and abilities of the candidate as measured against the inherent requirements of the position – regardless of personal characteristics.</w:t>
      </w:r>
    </w:p>
    <w:p w14:paraId="531D8302" w14:textId="77777777" w:rsidR="00FD76A0" w:rsidRDefault="0026650D">
      <w:pPr>
        <w:spacing w:before="120" w:after="120" w:line="276" w:lineRule="auto"/>
        <w:rPr>
          <w:rFonts w:ascii="Arial" w:hAnsi="Arial" w:cs="Arial"/>
        </w:rPr>
      </w:pPr>
      <w:r>
        <w:rPr>
          <w:rFonts w:ascii="Arial" w:hAnsi="Arial" w:cs="Arial"/>
        </w:rPr>
        <w:t>It is unacceptable and may be against the law to ask job candidates questions, or to in any other way seek information, about their personal characteristics, unless this can be shown to be directly relevant to a genuine requirement of the position.</w:t>
      </w:r>
    </w:p>
    <w:p w14:paraId="2E37D731" w14:textId="77777777" w:rsidR="00FD76A0" w:rsidRDefault="0026650D">
      <w:pPr>
        <w:spacing w:before="120" w:after="120" w:line="276" w:lineRule="auto"/>
        <w:rPr>
          <w:rFonts w:ascii="Arial" w:hAnsi="Arial" w:cs="Arial"/>
          <w:b/>
          <w:bCs/>
          <w:sz w:val="24"/>
          <w:szCs w:val="24"/>
        </w:rPr>
      </w:pPr>
      <w:r>
        <w:rPr>
          <w:rFonts w:ascii="Arial" w:hAnsi="Arial" w:cs="Arial"/>
          <w:b/>
          <w:bCs/>
          <w:sz w:val="24"/>
          <w:szCs w:val="24"/>
        </w:rPr>
        <w:t>Resolving Issues</w:t>
      </w:r>
    </w:p>
    <w:p w14:paraId="2F47491F" w14:textId="1910A83C" w:rsidR="00FD76A0" w:rsidRDefault="0026650D">
      <w:pPr>
        <w:spacing w:before="120" w:after="120" w:line="276" w:lineRule="auto"/>
        <w:rPr>
          <w:rFonts w:ascii="Arial" w:hAnsi="Arial" w:cs="Arial"/>
        </w:rPr>
      </w:pPr>
      <w:r>
        <w:rPr>
          <w:rFonts w:ascii="Arial" w:hAnsi="Arial" w:cs="Arial"/>
        </w:rPr>
        <w:t>The ACPCC strongly encourages any staff member who believes they have been discriminated against, bullied, sexually harassed, vilified or victimised to take appropriate action by making a complaint in accordance with the associated Procedure to this Policy.</w:t>
      </w:r>
    </w:p>
    <w:p w14:paraId="5CCCE754" w14:textId="7C23830E" w:rsidR="00FD76A0" w:rsidRDefault="0026650D">
      <w:pPr>
        <w:spacing w:before="120" w:after="120" w:line="276" w:lineRule="auto"/>
        <w:rPr>
          <w:rFonts w:ascii="Arial" w:hAnsi="Arial" w:cs="Arial"/>
        </w:rPr>
      </w:pPr>
      <w:r>
        <w:rPr>
          <w:rFonts w:ascii="Arial" w:hAnsi="Arial" w:cs="Arial"/>
        </w:rPr>
        <w:t xml:space="preserve">Any staff member who has witnessed any discrimination, bullying, sexual harassment, vilification or victimisation should report this to their manager or other responsible person at the </w:t>
      </w:r>
      <w:proofErr w:type="gramStart"/>
      <w:r>
        <w:rPr>
          <w:rFonts w:ascii="Arial" w:hAnsi="Arial" w:cs="Arial"/>
        </w:rPr>
        <w:t>ACPCC, or</w:t>
      </w:r>
      <w:proofErr w:type="gramEnd"/>
      <w:r>
        <w:rPr>
          <w:rFonts w:ascii="Arial" w:hAnsi="Arial" w:cs="Arial"/>
        </w:rPr>
        <w:t xml:space="preserve"> can raise a complaint in accordance with the associated Procedure.</w:t>
      </w:r>
    </w:p>
    <w:p w14:paraId="3BD35CC7" w14:textId="77777777" w:rsidR="00FD76A0" w:rsidRDefault="0026650D">
      <w:pPr>
        <w:spacing w:before="120" w:after="120" w:line="276" w:lineRule="auto"/>
        <w:rPr>
          <w:rFonts w:ascii="Arial" w:hAnsi="Arial" w:cs="Arial"/>
        </w:rPr>
      </w:pPr>
      <w:r>
        <w:rPr>
          <w:rFonts w:ascii="Arial" w:hAnsi="Arial" w:cs="Arial"/>
        </w:rPr>
        <w:t xml:space="preserve">Where a complaint is substantiated that constitutes a breach of this Policy, appropriate disciplinary action will </w:t>
      </w:r>
      <w:proofErr w:type="gramStart"/>
      <w:r>
        <w:rPr>
          <w:rFonts w:ascii="Arial" w:hAnsi="Arial" w:cs="Arial"/>
        </w:rPr>
        <w:t>apply, and</w:t>
      </w:r>
      <w:proofErr w:type="gramEnd"/>
      <w:r>
        <w:rPr>
          <w:rFonts w:ascii="Arial" w:hAnsi="Arial" w:cs="Arial"/>
        </w:rPr>
        <w:t xml:space="preserve"> may be dealt with in accordance with the Disciplinary Policy and Procedure.  Serious breaches of the Policy will lead to termination of employment.</w:t>
      </w:r>
    </w:p>
    <w:p w14:paraId="369B2146" w14:textId="77777777" w:rsidR="00FD76A0" w:rsidRDefault="0026650D">
      <w:pPr>
        <w:spacing w:before="120" w:after="120" w:line="276" w:lineRule="auto"/>
        <w:rPr>
          <w:rFonts w:ascii="Arial" w:hAnsi="Arial" w:cs="Arial"/>
        </w:rPr>
      </w:pPr>
      <w:r>
        <w:rPr>
          <w:rFonts w:ascii="Arial" w:hAnsi="Arial" w:cs="Arial"/>
        </w:rPr>
        <w:t>All parties involved in a complaint have the option of accessing personal counselling via the Employee Assistance Program provider. Contact details are available on the intranet.</w:t>
      </w:r>
    </w:p>
    <w:p w14:paraId="7858523E" w14:textId="77777777" w:rsidR="00FD76A0" w:rsidRDefault="0026650D">
      <w:pPr>
        <w:spacing w:before="120" w:after="120" w:line="276" w:lineRule="auto"/>
        <w:rPr>
          <w:rFonts w:ascii="Arial" w:hAnsi="Arial" w:cs="Arial"/>
          <w:b/>
          <w:bCs/>
          <w:sz w:val="24"/>
          <w:szCs w:val="24"/>
        </w:rPr>
      </w:pPr>
      <w:r>
        <w:rPr>
          <w:rFonts w:ascii="Arial" w:hAnsi="Arial" w:cs="Arial"/>
          <w:b/>
          <w:bCs/>
          <w:sz w:val="24"/>
          <w:szCs w:val="24"/>
        </w:rPr>
        <w:t>Other Measures</w:t>
      </w:r>
    </w:p>
    <w:p w14:paraId="6F58103A" w14:textId="1A8E6FD1" w:rsidR="00FD76A0" w:rsidRDefault="0026650D">
      <w:pPr>
        <w:spacing w:before="120" w:after="120" w:line="276" w:lineRule="auto"/>
        <w:rPr>
          <w:rFonts w:ascii="Arial" w:hAnsi="Arial" w:cs="Arial"/>
        </w:rPr>
      </w:pPr>
      <w:r>
        <w:rPr>
          <w:rFonts w:ascii="Arial" w:hAnsi="Arial" w:cs="Arial"/>
        </w:rPr>
        <w:t>The ACPCC may implement what training it considers necessary in relation to behavioural standards and where appropriate, will hold meetings to address standards, expectations and any issues. </w:t>
      </w:r>
    </w:p>
    <w:p w14:paraId="20737D14" w14:textId="77777777" w:rsidR="00FD76A0" w:rsidRDefault="0026650D">
      <w:pPr>
        <w:spacing w:before="120" w:after="120" w:line="276" w:lineRule="auto"/>
        <w:rPr>
          <w:rFonts w:ascii="Arial" w:hAnsi="Arial" w:cs="Arial"/>
        </w:rPr>
      </w:pPr>
      <w:r>
        <w:rPr>
          <w:rFonts w:ascii="Arial" w:hAnsi="Arial" w:cs="Arial"/>
        </w:rPr>
        <w:t>The frequency, dates and form of this training and meetings will be determined by the HR team. Compliance training will typically be offered to Employees every two years.</w:t>
      </w:r>
    </w:p>
    <w:p w14:paraId="0992336C" w14:textId="77777777" w:rsidR="00FD76A0" w:rsidRDefault="0026650D">
      <w:pPr>
        <w:pStyle w:val="Heading2"/>
        <w:spacing w:before="120" w:after="120" w:line="276" w:lineRule="auto"/>
        <w:rPr>
          <w:rFonts w:cs="Arial"/>
        </w:rPr>
      </w:pPr>
      <w:r>
        <w:rPr>
          <w:rFonts w:cs="Arial"/>
          <w:i w:val="0"/>
        </w:rPr>
        <w:t>PROCEDURE</w:t>
      </w:r>
    </w:p>
    <w:p w14:paraId="48CB70D4" w14:textId="77777777" w:rsidR="00FD76A0" w:rsidRDefault="0026650D">
      <w:pPr>
        <w:spacing w:before="120" w:after="120" w:line="276" w:lineRule="auto"/>
        <w:rPr>
          <w:rFonts w:ascii="Arial" w:hAnsi="Arial" w:cs="Arial"/>
        </w:rPr>
      </w:pPr>
      <w:r>
        <w:rPr>
          <w:rFonts w:ascii="Arial" w:hAnsi="Arial" w:cs="Arial"/>
        </w:rPr>
        <w:t>Refer to Corp-HR-PP-15 Grievance and Dispute Resolution Procedure</w:t>
      </w:r>
    </w:p>
    <w:p w14:paraId="3FB45081" w14:textId="77777777" w:rsidR="00FD76A0" w:rsidRDefault="0026650D">
      <w:pPr>
        <w:pStyle w:val="Heading2"/>
        <w:spacing w:line="276" w:lineRule="auto"/>
        <w:rPr>
          <w:rFonts w:cs="Arial"/>
          <w:i w:val="0"/>
        </w:rPr>
      </w:pPr>
      <w:r>
        <w:rPr>
          <w:rFonts w:cs="Arial"/>
          <w:i w:val="0"/>
        </w:rPr>
        <w:t>ATTACHMENTS</w:t>
      </w:r>
    </w:p>
    <w:p w14:paraId="03813664" w14:textId="77777777" w:rsidR="00FD76A0" w:rsidRDefault="0026650D">
      <w:pPr>
        <w:spacing w:before="120" w:after="120" w:line="276" w:lineRule="auto"/>
        <w:rPr>
          <w:rFonts w:ascii="Arial" w:hAnsi="Arial" w:cs="Arial"/>
        </w:rPr>
      </w:pPr>
      <w:r>
        <w:rPr>
          <w:rFonts w:ascii="Arial" w:hAnsi="Arial" w:cs="Arial"/>
        </w:rPr>
        <w:t>N/A</w:t>
      </w:r>
    </w:p>
    <w:p w14:paraId="0F103F6C" w14:textId="77777777" w:rsidR="00FD76A0" w:rsidRDefault="0026650D">
      <w:pPr>
        <w:pStyle w:val="Heading2"/>
        <w:spacing w:line="276" w:lineRule="auto"/>
        <w:rPr>
          <w:rFonts w:cs="Arial"/>
          <w:i w:val="0"/>
        </w:rPr>
      </w:pPr>
      <w:r>
        <w:rPr>
          <w:rFonts w:cs="Arial"/>
          <w:i w:val="0"/>
        </w:rPr>
        <w:t>REFERENCES</w:t>
      </w:r>
    </w:p>
    <w:p w14:paraId="7D5DC256" w14:textId="77777777" w:rsidR="00FD76A0" w:rsidRDefault="0026650D">
      <w:pPr>
        <w:tabs>
          <w:tab w:val="left" w:pos="1080"/>
          <w:tab w:val="left" w:pos="1134"/>
        </w:tabs>
        <w:spacing w:before="120" w:after="120" w:line="276" w:lineRule="auto"/>
        <w:contextualSpacing/>
        <w:jc w:val="both"/>
        <w:rPr>
          <w:rFonts w:ascii="Arial" w:hAnsi="Arial" w:cs="Arial"/>
        </w:rPr>
      </w:pPr>
      <w:r>
        <w:rPr>
          <w:rFonts w:ascii="Arial" w:hAnsi="Arial" w:cs="Arial"/>
        </w:rPr>
        <w:t>Corp-HR-PP-15 Grievance and Dispute Resolution Procedure</w:t>
      </w:r>
    </w:p>
    <w:p w14:paraId="10F54E9D" w14:textId="77777777" w:rsidR="00FD76A0" w:rsidRDefault="00FD76A0">
      <w:pPr>
        <w:tabs>
          <w:tab w:val="left" w:pos="1080"/>
          <w:tab w:val="left" w:pos="1134"/>
        </w:tabs>
        <w:spacing w:before="120" w:after="120" w:line="276" w:lineRule="auto"/>
        <w:contextualSpacing/>
        <w:jc w:val="both"/>
        <w:rPr>
          <w:rFonts w:ascii="Arial" w:hAnsi="Arial" w:cs="Arial"/>
        </w:rPr>
      </w:pPr>
    </w:p>
    <w:p w14:paraId="2DD589C5" w14:textId="0A166BA1" w:rsidR="00FD76A0" w:rsidRDefault="0026650D">
      <w:pPr>
        <w:tabs>
          <w:tab w:val="left" w:pos="1080"/>
          <w:tab w:val="left" w:pos="1134"/>
        </w:tabs>
        <w:spacing w:before="120" w:after="120" w:line="276" w:lineRule="auto"/>
        <w:contextualSpacing/>
        <w:jc w:val="both"/>
        <w:rPr>
          <w:rFonts w:ascii="Arial" w:hAnsi="Arial" w:cs="Arial"/>
        </w:rPr>
      </w:pPr>
      <w:r>
        <w:rPr>
          <w:rFonts w:ascii="Arial" w:hAnsi="Arial" w:cs="Arial"/>
        </w:rPr>
        <w:t xml:space="preserve">Exec-Gov-PP-23 </w:t>
      </w:r>
      <w:r w:rsidR="008B1192">
        <w:rPr>
          <w:rFonts w:ascii="Arial" w:hAnsi="Arial" w:cs="Arial"/>
        </w:rPr>
        <w:t>ACPCC</w:t>
      </w:r>
      <w:r>
        <w:rPr>
          <w:rFonts w:ascii="Arial" w:hAnsi="Arial" w:cs="Arial"/>
        </w:rPr>
        <w:t xml:space="preserve"> Code of Conduct</w:t>
      </w:r>
    </w:p>
    <w:p w14:paraId="74130EE6" w14:textId="77777777" w:rsidR="00FD76A0" w:rsidRDefault="00FD76A0">
      <w:pPr>
        <w:tabs>
          <w:tab w:val="left" w:pos="1080"/>
          <w:tab w:val="left" w:pos="1134"/>
        </w:tabs>
        <w:spacing w:before="120" w:after="120" w:line="276" w:lineRule="auto"/>
        <w:contextualSpacing/>
        <w:jc w:val="both"/>
        <w:rPr>
          <w:rFonts w:ascii="Arial" w:hAnsi="Arial" w:cs="Arial"/>
          <w:i/>
        </w:rPr>
      </w:pPr>
    </w:p>
    <w:p w14:paraId="1A2F8092" w14:textId="77777777" w:rsidR="00FD76A0" w:rsidRDefault="0026650D">
      <w:pPr>
        <w:tabs>
          <w:tab w:val="left" w:pos="1080"/>
          <w:tab w:val="left" w:pos="1134"/>
        </w:tabs>
        <w:spacing w:before="120" w:after="120" w:line="276" w:lineRule="auto"/>
        <w:contextualSpacing/>
        <w:jc w:val="both"/>
        <w:rPr>
          <w:rFonts w:ascii="Arial" w:hAnsi="Arial" w:cs="Arial"/>
          <w:iCs/>
        </w:rPr>
      </w:pPr>
      <w:r>
        <w:rPr>
          <w:rFonts w:ascii="Arial" w:hAnsi="Arial" w:cs="Arial"/>
          <w:iCs/>
        </w:rPr>
        <w:t>Corp-HR-PP-47 Disciplinary Policy and Procedure</w:t>
      </w:r>
    </w:p>
    <w:p w14:paraId="2B6433FC" w14:textId="77777777" w:rsidR="00FD76A0" w:rsidRDefault="00FD76A0">
      <w:pPr>
        <w:tabs>
          <w:tab w:val="left" w:pos="1080"/>
          <w:tab w:val="left" w:pos="1134"/>
        </w:tabs>
        <w:spacing w:before="120" w:after="120" w:line="276" w:lineRule="auto"/>
        <w:contextualSpacing/>
        <w:jc w:val="both"/>
        <w:rPr>
          <w:rFonts w:ascii="Arial" w:hAnsi="Arial" w:cs="Arial"/>
          <w:iCs/>
        </w:rPr>
      </w:pPr>
    </w:p>
    <w:p w14:paraId="3E2B274F" w14:textId="77777777" w:rsidR="00FD76A0" w:rsidRDefault="0026650D">
      <w:pPr>
        <w:tabs>
          <w:tab w:val="left" w:pos="1080"/>
          <w:tab w:val="left" w:pos="1134"/>
        </w:tabs>
        <w:spacing w:before="120" w:after="120" w:line="276" w:lineRule="auto"/>
        <w:contextualSpacing/>
        <w:jc w:val="both"/>
        <w:rPr>
          <w:rFonts w:ascii="Arial" w:hAnsi="Arial" w:cs="Arial"/>
          <w:iCs/>
        </w:rPr>
      </w:pPr>
      <w:r>
        <w:rPr>
          <w:rFonts w:ascii="Arial" w:hAnsi="Arial" w:cs="Arial"/>
          <w:iCs/>
        </w:rPr>
        <w:t>Corp-HR-PP-50 Anti-bullying and Anti-Harassment Policy</w:t>
      </w:r>
    </w:p>
    <w:p w14:paraId="188FD699" w14:textId="77777777" w:rsidR="00FD76A0" w:rsidRDefault="00FD76A0">
      <w:pPr>
        <w:tabs>
          <w:tab w:val="left" w:pos="1080"/>
          <w:tab w:val="left" w:pos="1134"/>
        </w:tabs>
        <w:spacing w:before="120" w:after="120" w:line="276" w:lineRule="auto"/>
        <w:contextualSpacing/>
        <w:jc w:val="both"/>
        <w:rPr>
          <w:rFonts w:ascii="Arial" w:hAnsi="Arial" w:cs="Arial"/>
          <w:i/>
        </w:rPr>
      </w:pPr>
    </w:p>
    <w:p w14:paraId="61285757" w14:textId="77777777" w:rsidR="00FD76A0" w:rsidRDefault="0026650D">
      <w:pPr>
        <w:tabs>
          <w:tab w:val="left" w:pos="1080"/>
          <w:tab w:val="left" w:pos="1134"/>
        </w:tabs>
        <w:spacing w:before="120" w:after="120" w:line="276" w:lineRule="auto"/>
        <w:contextualSpacing/>
        <w:jc w:val="both"/>
        <w:rPr>
          <w:rFonts w:ascii="Arial" w:hAnsi="Arial" w:cs="Arial"/>
          <w:iCs/>
        </w:rPr>
      </w:pPr>
      <w:r>
        <w:rPr>
          <w:rFonts w:ascii="Arial" w:hAnsi="Arial" w:cs="Arial"/>
          <w:iCs/>
        </w:rPr>
        <w:t xml:space="preserve">Corp-HR-PP-48 </w:t>
      </w:r>
      <w:proofErr w:type="gramStart"/>
      <w:r>
        <w:rPr>
          <w:rFonts w:ascii="Arial" w:hAnsi="Arial" w:cs="Arial"/>
          <w:iCs/>
        </w:rPr>
        <w:t>Social Media Policy</w:t>
      </w:r>
      <w:proofErr w:type="gramEnd"/>
      <w:r>
        <w:rPr>
          <w:rFonts w:ascii="Arial" w:hAnsi="Arial" w:cs="Arial"/>
          <w:iCs/>
        </w:rPr>
        <w:t xml:space="preserve"> </w:t>
      </w:r>
    </w:p>
    <w:p w14:paraId="052C8FEC" w14:textId="77777777" w:rsidR="007A5863" w:rsidRDefault="007A5863">
      <w:pPr>
        <w:tabs>
          <w:tab w:val="left" w:pos="1080"/>
          <w:tab w:val="left" w:pos="1134"/>
        </w:tabs>
        <w:spacing w:before="120" w:after="120" w:line="276" w:lineRule="auto"/>
        <w:contextualSpacing/>
        <w:jc w:val="both"/>
        <w:rPr>
          <w:rFonts w:ascii="Arial" w:hAnsi="Arial" w:cs="Arial"/>
          <w:iCs/>
        </w:rPr>
      </w:pPr>
    </w:p>
    <w:p w14:paraId="2DF8392F" w14:textId="6EAE6539" w:rsidR="007A5863" w:rsidRDefault="007A5863">
      <w:pPr>
        <w:tabs>
          <w:tab w:val="left" w:pos="1080"/>
          <w:tab w:val="left" w:pos="1134"/>
        </w:tabs>
        <w:spacing w:before="120" w:after="120" w:line="276" w:lineRule="auto"/>
        <w:contextualSpacing/>
        <w:jc w:val="both"/>
        <w:rPr>
          <w:rFonts w:ascii="Arial" w:hAnsi="Arial" w:cs="Arial"/>
          <w:iCs/>
        </w:rPr>
      </w:pPr>
      <w:r>
        <w:rPr>
          <w:rFonts w:ascii="Arial" w:hAnsi="Arial" w:cs="Arial"/>
          <w:iCs/>
        </w:rPr>
        <w:t xml:space="preserve">Corp-HR-PP-23 Recruitment and Selection - Policy and Procedure </w:t>
      </w:r>
    </w:p>
    <w:p w14:paraId="7E7A2387" w14:textId="77777777" w:rsidR="007A5863" w:rsidRDefault="007A5863">
      <w:pPr>
        <w:tabs>
          <w:tab w:val="left" w:pos="1080"/>
          <w:tab w:val="left" w:pos="1134"/>
        </w:tabs>
        <w:spacing w:before="120" w:after="120" w:line="276" w:lineRule="auto"/>
        <w:contextualSpacing/>
        <w:jc w:val="both"/>
        <w:rPr>
          <w:rFonts w:ascii="Arial" w:hAnsi="Arial" w:cs="Arial"/>
          <w:iCs/>
        </w:rPr>
      </w:pPr>
    </w:p>
    <w:p w14:paraId="29A518F7" w14:textId="4A743DCC" w:rsidR="007A5863" w:rsidRDefault="007A5863">
      <w:pPr>
        <w:tabs>
          <w:tab w:val="left" w:pos="1080"/>
          <w:tab w:val="left" w:pos="1134"/>
        </w:tabs>
        <w:spacing w:before="120" w:after="120" w:line="276" w:lineRule="auto"/>
        <w:contextualSpacing/>
        <w:jc w:val="both"/>
        <w:rPr>
          <w:rFonts w:ascii="Arial" w:hAnsi="Arial" w:cs="Arial"/>
          <w:iCs/>
        </w:rPr>
      </w:pPr>
      <w:r>
        <w:rPr>
          <w:rFonts w:ascii="Arial" w:hAnsi="Arial" w:cs="Arial"/>
          <w:iCs/>
        </w:rPr>
        <w:t xml:space="preserve">Corp-HR-PP-43 VCS Foundation </w:t>
      </w:r>
      <w:proofErr w:type="spellStart"/>
      <w:r>
        <w:rPr>
          <w:rFonts w:ascii="Arial" w:hAnsi="Arial" w:cs="Arial"/>
          <w:iCs/>
        </w:rPr>
        <w:t>Felxible</w:t>
      </w:r>
      <w:proofErr w:type="spellEnd"/>
      <w:r>
        <w:rPr>
          <w:rFonts w:ascii="Arial" w:hAnsi="Arial" w:cs="Arial"/>
          <w:iCs/>
        </w:rPr>
        <w:t xml:space="preserve"> Work Safety Checklist</w:t>
      </w:r>
    </w:p>
    <w:p w14:paraId="13AE0092" w14:textId="77777777" w:rsidR="007A5863" w:rsidRDefault="007A5863">
      <w:pPr>
        <w:tabs>
          <w:tab w:val="left" w:pos="1080"/>
          <w:tab w:val="left" w:pos="1134"/>
        </w:tabs>
        <w:spacing w:before="120" w:after="120" w:line="276" w:lineRule="auto"/>
        <w:contextualSpacing/>
        <w:jc w:val="both"/>
        <w:rPr>
          <w:rFonts w:ascii="Arial" w:hAnsi="Arial" w:cs="Arial"/>
          <w:iCs/>
        </w:rPr>
      </w:pPr>
    </w:p>
    <w:p w14:paraId="0E405E67" w14:textId="031AC7F8" w:rsidR="007A5863" w:rsidRDefault="007A5863">
      <w:pPr>
        <w:tabs>
          <w:tab w:val="left" w:pos="1080"/>
          <w:tab w:val="left" w:pos="1134"/>
        </w:tabs>
        <w:spacing w:before="120" w:after="120" w:line="276" w:lineRule="auto"/>
        <w:contextualSpacing/>
        <w:jc w:val="both"/>
        <w:rPr>
          <w:rFonts w:ascii="Arial" w:hAnsi="Arial" w:cs="Arial"/>
          <w:iCs/>
        </w:rPr>
      </w:pPr>
      <w:r>
        <w:rPr>
          <w:rFonts w:ascii="Arial" w:hAnsi="Arial" w:cs="Arial"/>
          <w:iCs/>
        </w:rPr>
        <w:t xml:space="preserve">Exec-Gov-PP21 Whistleblower Policy and Procedure  </w:t>
      </w:r>
    </w:p>
    <w:p w14:paraId="58865752" w14:textId="77777777" w:rsidR="007A5863" w:rsidRDefault="007A5863">
      <w:pPr>
        <w:tabs>
          <w:tab w:val="left" w:pos="1080"/>
          <w:tab w:val="left" w:pos="1134"/>
        </w:tabs>
        <w:spacing w:before="120" w:after="120" w:line="276" w:lineRule="auto"/>
        <w:contextualSpacing/>
        <w:jc w:val="both"/>
        <w:rPr>
          <w:rFonts w:ascii="Arial" w:hAnsi="Arial" w:cs="Arial"/>
          <w:iCs/>
        </w:rPr>
      </w:pPr>
    </w:p>
    <w:p w14:paraId="44D92436" w14:textId="3A8BBFEE" w:rsidR="007A5863" w:rsidRDefault="007A5863">
      <w:pPr>
        <w:tabs>
          <w:tab w:val="left" w:pos="1080"/>
          <w:tab w:val="left" w:pos="1134"/>
        </w:tabs>
        <w:spacing w:before="120" w:after="120" w:line="276" w:lineRule="auto"/>
        <w:contextualSpacing/>
        <w:jc w:val="both"/>
        <w:rPr>
          <w:rFonts w:ascii="Arial" w:hAnsi="Arial" w:cs="Arial"/>
          <w:iCs/>
        </w:rPr>
      </w:pPr>
      <w:r>
        <w:rPr>
          <w:rFonts w:ascii="Arial" w:hAnsi="Arial" w:cs="Arial"/>
          <w:iCs/>
        </w:rPr>
        <w:t xml:space="preserve">Corp-HR-F-58 Complaints and Grievance Form  </w:t>
      </w:r>
    </w:p>
    <w:p w14:paraId="02DE8FE0" w14:textId="77777777" w:rsidR="007A5863" w:rsidRDefault="007A5863">
      <w:pPr>
        <w:tabs>
          <w:tab w:val="left" w:pos="1080"/>
          <w:tab w:val="left" w:pos="1134"/>
        </w:tabs>
        <w:spacing w:before="120" w:after="120" w:line="276" w:lineRule="auto"/>
        <w:contextualSpacing/>
        <w:jc w:val="both"/>
        <w:rPr>
          <w:rFonts w:ascii="Arial" w:hAnsi="Arial" w:cs="Arial"/>
          <w:iCs/>
        </w:rPr>
      </w:pPr>
    </w:p>
    <w:p w14:paraId="1AD9CC2B" w14:textId="6207C46B" w:rsidR="007A5863" w:rsidRDefault="007A5863">
      <w:pPr>
        <w:tabs>
          <w:tab w:val="left" w:pos="1080"/>
          <w:tab w:val="left" w:pos="1134"/>
        </w:tabs>
        <w:spacing w:before="120" w:after="120" w:line="276" w:lineRule="auto"/>
        <w:contextualSpacing/>
        <w:jc w:val="both"/>
        <w:rPr>
          <w:rFonts w:ascii="Arial" w:hAnsi="Arial" w:cs="Arial"/>
          <w:iCs/>
        </w:rPr>
      </w:pPr>
      <w:r>
        <w:rPr>
          <w:rFonts w:ascii="Arial" w:hAnsi="Arial" w:cs="Arial"/>
          <w:iCs/>
        </w:rPr>
        <w:t xml:space="preserve">Corp-HR-PP-48 Social Medial Policy </w:t>
      </w:r>
    </w:p>
    <w:p w14:paraId="63AB8171" w14:textId="77777777" w:rsidR="00FD76A0" w:rsidRDefault="00FD76A0">
      <w:pPr>
        <w:tabs>
          <w:tab w:val="left" w:pos="1134"/>
        </w:tabs>
        <w:spacing w:before="120" w:after="120" w:line="276" w:lineRule="auto"/>
        <w:contextualSpacing/>
        <w:jc w:val="both"/>
        <w:rPr>
          <w:rFonts w:ascii="Arial" w:hAnsi="Arial" w:cs="Arial"/>
          <w:lang w:val="en-US"/>
        </w:rPr>
      </w:pPr>
    </w:p>
    <w:p w14:paraId="4591A7EA" w14:textId="77777777" w:rsidR="00FD76A0" w:rsidRDefault="00FD76A0">
      <w:pPr>
        <w:rPr>
          <w:rFonts w:ascii="Arial" w:hAnsi="Arial" w:cs="Arial"/>
          <w:lang w:val="en-US"/>
        </w:rPr>
      </w:pPr>
    </w:p>
    <w:sectPr w:rsidR="00FD76A0">
      <w:headerReference w:type="even" r:id="rId11"/>
      <w:headerReference w:type="default" r:id="rId12"/>
      <w:footerReference w:type="even" r:id="rId13"/>
      <w:footerReference w:type="default" r:id="rId14"/>
      <w:headerReference w:type="first" r:id="rId15"/>
      <w:footerReference w:type="first" r:id="rId16"/>
      <w:pgSz w:w="11906" w:h="16838" w:code="9"/>
      <w:pgMar w:top="1134" w:right="1247" w:bottom="1134" w:left="1361" w:header="680"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105EA" w14:textId="77777777" w:rsidR="002E7D0F" w:rsidRDefault="002E7D0F">
      <w:r>
        <w:separator/>
      </w:r>
    </w:p>
  </w:endnote>
  <w:endnote w:type="continuationSeparator" w:id="0">
    <w:p w14:paraId="0EC4DFE4" w14:textId="77777777" w:rsidR="002E7D0F" w:rsidRDefault="002E7D0F">
      <w:r>
        <w:continuationSeparator/>
      </w:r>
    </w:p>
  </w:endnote>
  <w:endnote w:type="continuationNotice" w:id="1">
    <w:p w14:paraId="41BF4537" w14:textId="77777777" w:rsidR="002E7D0F" w:rsidRDefault="002E7D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D9CFF" w14:textId="77777777" w:rsidR="000275D4" w:rsidRDefault="000275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02A40" w14:textId="26580E81" w:rsidR="00FD76A0" w:rsidRDefault="0026650D">
    <w:pPr>
      <w:pBdr>
        <w:top w:val="single" w:sz="4" w:space="1" w:color="auto"/>
      </w:pBdr>
      <w:rPr>
        <w:rFonts w:ascii="Arial" w:hAnsi="Arial"/>
        <w:sz w:val="16"/>
        <w:lang w:val="en-US"/>
      </w:rPr>
    </w:pPr>
    <w:r>
      <w:rPr>
        <w:rFonts w:ascii="Arial" w:hAnsi="Arial"/>
        <w:noProof/>
        <w:color w:val="FF0000"/>
        <w:sz w:val="16"/>
      </w:rPr>
      <w:drawing>
        <wp:anchor distT="0" distB="0" distL="114300" distR="114300" simplePos="0" relativeHeight="251658241" behindDoc="1" locked="0" layoutInCell="1" allowOverlap="1" wp14:anchorId="5DFFB7F4" wp14:editId="6148DDE4">
          <wp:simplePos x="0" y="0"/>
          <wp:positionH relativeFrom="margin">
            <wp:posOffset>4203065</wp:posOffset>
          </wp:positionH>
          <wp:positionV relativeFrom="paragraph">
            <wp:posOffset>34015</wp:posOffset>
          </wp:positionV>
          <wp:extent cx="1123950" cy="499385"/>
          <wp:effectExtent l="0" t="0" r="0" b="0"/>
          <wp:wrapNone/>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23950" cy="49938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16"/>
        <w:lang w:val="en-US"/>
      </w:rPr>
      <w:t xml:space="preserve">This is a controlled document issued by the ACPCC.  </w:t>
    </w:r>
    <w:proofErr w:type="spellStart"/>
    <w:r>
      <w:rPr>
        <w:rFonts w:ascii="Arial" w:hAnsi="Arial"/>
        <w:sz w:val="16"/>
        <w:lang w:val="en-US"/>
      </w:rPr>
      <w:t>Unauthorised</w:t>
    </w:r>
    <w:proofErr w:type="spellEnd"/>
    <w:r>
      <w:rPr>
        <w:rFonts w:ascii="Arial" w:hAnsi="Arial"/>
        <w:sz w:val="16"/>
        <w:lang w:val="en-US"/>
      </w:rPr>
      <w:t xml:space="preserve"> copies are not permitted.</w:t>
    </w:r>
  </w:p>
  <w:p w14:paraId="5601C8D1" w14:textId="62D6DD3F" w:rsidR="00FD76A0" w:rsidRDefault="00FD76A0" w:rsidP="0026650D">
    <w:pPr>
      <w:pStyle w:val="Footer"/>
      <w:tabs>
        <w:tab w:val="clear" w:pos="8306"/>
        <w:tab w:val="right" w:pos="9214"/>
      </w:tabs>
      <w:jc w:val="right"/>
      <w:rPr>
        <w:rFonts w:ascii="Arial" w:hAnsi="Arial"/>
        <w:color w:val="FF0000"/>
        <w:sz w:val="16"/>
      </w:rPr>
    </w:pPr>
  </w:p>
  <w:p w14:paraId="1D81E59A" w14:textId="208CC925" w:rsidR="00FD76A0" w:rsidRDefault="0026650D">
    <w:pPr>
      <w:pStyle w:val="Footer"/>
      <w:tabs>
        <w:tab w:val="clear" w:pos="8306"/>
        <w:tab w:val="right" w:pos="9214"/>
      </w:tabs>
      <w:rPr>
        <w:rFonts w:ascii="Arial" w:hAnsi="Arial"/>
        <w:color w:val="000000"/>
        <w:sz w:val="16"/>
      </w:rPr>
    </w:pPr>
    <w:r>
      <w:rPr>
        <w:rFonts w:ascii="Arial" w:hAnsi="Arial"/>
        <w:color w:val="FF0000"/>
        <w:sz w:val="16"/>
      </w:rPr>
      <w:t xml:space="preserve">Version No: </w:t>
    </w:r>
    <w:r w:rsidR="002B44E8">
      <w:rPr>
        <w:rFonts w:ascii="Arial" w:hAnsi="Arial"/>
        <w:color w:val="FF0000"/>
        <w:sz w:val="16"/>
      </w:rPr>
      <w:t>9</w:t>
    </w:r>
    <w:r>
      <w:rPr>
        <w:rFonts w:ascii="Arial" w:hAnsi="Arial"/>
        <w:color w:val="FF0000"/>
        <w:sz w:val="16"/>
      </w:rPr>
      <w:tab/>
    </w:r>
    <w:r>
      <w:rPr>
        <w:rFonts w:ascii="Arial" w:hAnsi="Arial"/>
        <w:color w:val="FF0000"/>
        <w:sz w:val="16"/>
      </w:rPr>
      <w:tab/>
    </w:r>
  </w:p>
  <w:p w14:paraId="1B51F919" w14:textId="540D48B6" w:rsidR="00FD76A0" w:rsidRDefault="0026650D">
    <w:pPr>
      <w:pStyle w:val="Footer"/>
      <w:tabs>
        <w:tab w:val="clear" w:pos="8306"/>
        <w:tab w:val="left" w:pos="1418"/>
        <w:tab w:val="right" w:pos="9356"/>
      </w:tabs>
      <w:rPr>
        <w:sz w:val="24"/>
      </w:rPr>
    </w:pPr>
    <w:r>
      <w:rPr>
        <w:rFonts w:ascii="Arial" w:hAnsi="Arial"/>
        <w:color w:val="FF0000"/>
        <w:sz w:val="16"/>
      </w:rPr>
      <w:t>Authorised by: Executive Director</w:t>
    </w:r>
    <w:r>
      <w:rPr>
        <w:rFonts w:ascii="Arial" w:hAnsi="Arial"/>
        <w:color w:val="FF0000"/>
        <w:sz w:val="16"/>
      </w:rPr>
      <w:tab/>
    </w:r>
    <w:r>
      <w:rPr>
        <w:rFonts w:ascii="Arial" w:hAnsi="Arial"/>
        <w:color w:val="FF0000"/>
        <w:sz w:val="16"/>
      </w:rPr>
      <w:tab/>
      <w:t xml:space="preserve">Page: </w:t>
    </w:r>
    <w:r>
      <w:rPr>
        <w:rStyle w:val="PageNumber"/>
        <w:rFonts w:ascii="Arial" w:hAnsi="Arial"/>
        <w:color w:val="000000"/>
        <w:sz w:val="16"/>
      </w:rPr>
      <w:fldChar w:fldCharType="begin"/>
    </w:r>
    <w:r>
      <w:rPr>
        <w:rStyle w:val="PageNumber"/>
        <w:rFonts w:ascii="Arial" w:hAnsi="Arial"/>
        <w:color w:val="000000"/>
        <w:sz w:val="16"/>
      </w:rPr>
      <w:instrText xml:space="preserve"> PAGE </w:instrText>
    </w:r>
    <w:r>
      <w:rPr>
        <w:rStyle w:val="PageNumber"/>
        <w:rFonts w:ascii="Arial" w:hAnsi="Arial"/>
        <w:color w:val="000000"/>
        <w:sz w:val="16"/>
      </w:rPr>
      <w:fldChar w:fldCharType="separate"/>
    </w:r>
    <w:r>
      <w:rPr>
        <w:rStyle w:val="PageNumber"/>
        <w:rFonts w:ascii="Arial" w:hAnsi="Arial"/>
        <w:noProof/>
        <w:color w:val="000000"/>
        <w:sz w:val="16"/>
      </w:rPr>
      <w:t>3</w:t>
    </w:r>
    <w:r>
      <w:rPr>
        <w:rStyle w:val="PageNumber"/>
        <w:rFonts w:ascii="Arial" w:hAnsi="Arial"/>
        <w:color w:val="000000"/>
        <w:sz w:val="16"/>
      </w:rPr>
      <w:fldChar w:fldCharType="end"/>
    </w:r>
    <w:r>
      <w:rPr>
        <w:rStyle w:val="PageNumber"/>
        <w:rFonts w:ascii="Arial" w:hAnsi="Arial"/>
        <w:color w:val="000000"/>
        <w:sz w:val="16"/>
      </w:rPr>
      <w:t xml:space="preserve"> of </w:t>
    </w:r>
    <w:r w:rsidR="007A5863">
      <w:rPr>
        <w:rStyle w:val="PageNumber"/>
        <w:rFonts w:ascii="Arial" w:hAnsi="Arial"/>
        <w:color w:val="000000"/>
        <w:sz w:val="16"/>
      </w:rPr>
      <w:t>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11C32" w14:textId="77777777" w:rsidR="000275D4" w:rsidRDefault="000275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1AED6" w14:textId="77777777" w:rsidR="002E7D0F" w:rsidRDefault="002E7D0F">
      <w:r>
        <w:separator/>
      </w:r>
    </w:p>
  </w:footnote>
  <w:footnote w:type="continuationSeparator" w:id="0">
    <w:p w14:paraId="39FE483C" w14:textId="77777777" w:rsidR="002E7D0F" w:rsidRDefault="002E7D0F">
      <w:r>
        <w:continuationSeparator/>
      </w:r>
    </w:p>
  </w:footnote>
  <w:footnote w:type="continuationNotice" w:id="1">
    <w:p w14:paraId="2C093F2C" w14:textId="77777777" w:rsidR="002E7D0F" w:rsidRDefault="002E7D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13559" w14:textId="77777777" w:rsidR="000275D4" w:rsidRDefault="000275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FBFC6" w14:textId="77777777" w:rsidR="00FD76A0" w:rsidRDefault="0026650D">
    <w:pPr>
      <w:pStyle w:val="Header"/>
      <w:tabs>
        <w:tab w:val="clear" w:pos="4153"/>
        <w:tab w:val="clear" w:pos="8306"/>
        <w:tab w:val="right" w:pos="9214"/>
      </w:tabs>
      <w:rPr>
        <w:rFonts w:ascii="Arial" w:hAnsi="Arial"/>
        <w:sz w:val="16"/>
        <w:lang w:val="en-US"/>
      </w:rPr>
    </w:pPr>
    <w:r>
      <w:rPr>
        <w:rFonts w:ascii="Arial" w:hAnsi="Arial"/>
        <w:sz w:val="16"/>
        <w:lang w:val="en-US"/>
      </w:rPr>
      <w:t>Department: Corporate Services</w:t>
    </w:r>
    <w:r>
      <w:rPr>
        <w:rFonts w:ascii="Arial" w:hAnsi="Arial"/>
        <w:sz w:val="16"/>
        <w:lang w:val="en-US"/>
      </w:rPr>
      <w:tab/>
      <w:t>Document No: Corp-HR-PP-10</w:t>
    </w:r>
  </w:p>
  <w:p w14:paraId="35AD0132" w14:textId="77777777" w:rsidR="00FD76A0" w:rsidRDefault="0026650D">
    <w:pPr>
      <w:pStyle w:val="Header"/>
      <w:pBdr>
        <w:bottom w:val="single" w:sz="4" w:space="1" w:color="auto"/>
      </w:pBdr>
      <w:tabs>
        <w:tab w:val="clear" w:pos="4153"/>
        <w:tab w:val="clear" w:pos="8306"/>
        <w:tab w:val="right" w:pos="9214"/>
      </w:tabs>
      <w:rPr>
        <w:rFonts w:ascii="Arial" w:hAnsi="Arial"/>
        <w:sz w:val="16"/>
        <w:lang w:val="en-US"/>
      </w:rPr>
    </w:pPr>
    <w:r>
      <w:rPr>
        <w:rFonts w:ascii="Arial" w:hAnsi="Arial"/>
        <w:sz w:val="16"/>
        <w:lang w:val="en-US"/>
      </w:rPr>
      <w:tab/>
      <w:t>Document Name: Equal Opportunity &amp; Anti-discrimination Policy</w:t>
    </w:r>
  </w:p>
  <w:p w14:paraId="4913B527" w14:textId="0F008374" w:rsidR="00FD76A0" w:rsidRDefault="0026650D">
    <w:pPr>
      <w:pStyle w:val="Header"/>
      <w:tabs>
        <w:tab w:val="clear" w:pos="4153"/>
        <w:tab w:val="clear" w:pos="8306"/>
        <w:tab w:val="right" w:pos="8364"/>
      </w:tabs>
      <w:rPr>
        <w:sz w:val="24"/>
        <w:lang w:val="en-US"/>
      </w:rPr>
    </w:pPr>
    <w:r>
      <w:rPr>
        <w:noProof/>
        <w:lang w:eastAsia="en-AU"/>
      </w:rPr>
      <mc:AlternateContent>
        <mc:Choice Requires="wps">
          <w:drawing>
            <wp:anchor distT="0" distB="0" distL="114300" distR="114300" simplePos="0" relativeHeight="251658240" behindDoc="0" locked="1" layoutInCell="0" allowOverlap="1" wp14:anchorId="08DFF694" wp14:editId="13033488">
              <wp:simplePos x="0" y="0"/>
              <wp:positionH relativeFrom="column">
                <wp:posOffset>-683260</wp:posOffset>
              </wp:positionH>
              <wp:positionV relativeFrom="paragraph">
                <wp:posOffset>2278380</wp:posOffset>
              </wp:positionV>
              <wp:extent cx="548640" cy="5577840"/>
              <wp:effectExtent l="2540" t="1905" r="1270" b="1905"/>
              <wp:wrapTopAndBottom/>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5577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1F1AF6" w14:textId="77777777" w:rsidR="00FD76A0" w:rsidRDefault="0026650D">
                          <w:pPr>
                            <w:jc w:val="center"/>
                            <w:rPr>
                              <w:rFonts w:ascii="Arial" w:hAnsi="Arial"/>
                              <w:color w:val="C0C0C0"/>
                              <w:sz w:val="36"/>
                              <w:lang w:val="en-US"/>
                            </w:rPr>
                          </w:pPr>
                          <w:r>
                            <w:rPr>
                              <w:rFonts w:ascii="Arial" w:hAnsi="Arial"/>
                              <w:color w:val="C0C0C0"/>
                              <w:sz w:val="36"/>
                              <w:lang w:val="en-US"/>
                            </w:rPr>
                            <w:t>UNAUTHORISED COPIES ARE NOT PERMITTED</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DFF694" id="_x0000_t202" coordsize="21600,21600" o:spt="202" path="m,l,21600r21600,l21600,xe">
              <v:stroke joinstyle="miter"/>
              <v:path gradientshapeok="t" o:connecttype="rect"/>
            </v:shapetype>
            <v:shape id="Text Box 1" o:spid="_x0000_s1026" type="#_x0000_t202" style="position:absolute;margin-left:-53.8pt;margin-top:179.4pt;width:43.2pt;height:439.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QOA3gEAAKQDAAAOAAAAZHJzL2Uyb0RvYy54bWysU8Fu2zAMvQ/YPwi6L06CpMmMOEXXosOA&#10;bh3Q9QNkWYqN2aJGKrHz96PkNM3W27CLIJLy43uP9OZ66FpxMEgNuELOJlMpjNNQNW5XyOcf9x/W&#10;UlBQrlItOFPIoyF5vX3/btP73MyhhrYyKBjEUd77QtYh+DzLSNemUzQBbxwXLWCnAoe4yypUPaN3&#10;bTafTq+yHrDyCNoQcfZuLMptwrfW6PBoLZkg2kIyt5BOTGcZz2y7UfkOla8bfaKh/oFFpxrHTc9Q&#10;dyooscfmDVTXaAQCGyYaugysbbRJGljNbPqXmqdaeZO0sDnkzzbR/4PV3w5P/juKMHyCgQeYRJB/&#10;AP2ThIPbWrmduUGEvjaq4sazaFnWe8pPn0arKacIUvZfoeIhq32ABDRY7KIrrFMwOg/geDbdDEFo&#10;Ti4X66sFVzSXlsvVas1BbKHyl689UvhsoBPxUkjkoSZ0dXigMD59eRKbObhv2jYNtnV/JBgzZhL7&#10;SHikHoZy4NdRRQnVkXUgjHvCe82XeM5XzLDnNSkk/dorNFK0Xxzb8XG2iORDChbL1ZwDvKyUlxXl&#10;dA28fUGK8Xobxl3ce2x2NTcbB+Dghi20TVL3SuxEnVch+XNa27hrl3F69fpzbX8DAAD//wMAUEsD&#10;BBQABgAIAAAAIQDk1vHW4wAAAA0BAAAPAAAAZHJzL2Rvd25yZXYueG1sTI/LTsMwEEX3SPyDNUjs&#10;UjuOaKs0ToVAVGKD2gCL7pzYJBF+hNht0r9nWJXlaI7uPbfYztaQsx5D752AdMGAaNd41btWwMf7&#10;S7IGEqJ0ShrvtICLDrAtb28KmSs/uYM+V7ElGOJCLgV0MQ45paHptJVh4Qft8PflRysjnmNL1Sgn&#10;DLeGcsaW1MreYUMnB/3U6ea7OlkBn/XbxRyG7Mj66XU/73721fOuFeL+bn7cAIl6jlcY/vRRHUp0&#10;qv3JqUCMgCRlqyWyArKHNY5AJOEpB1Ijy7MVB1oW9P+K8hcAAP//AwBQSwECLQAUAAYACAAAACEA&#10;toM4kv4AAADhAQAAEwAAAAAAAAAAAAAAAAAAAAAAW0NvbnRlbnRfVHlwZXNdLnhtbFBLAQItABQA&#10;BgAIAAAAIQA4/SH/1gAAAJQBAAALAAAAAAAAAAAAAAAAAC8BAABfcmVscy8ucmVsc1BLAQItABQA&#10;BgAIAAAAIQDV9QOA3gEAAKQDAAAOAAAAAAAAAAAAAAAAAC4CAABkcnMvZTJvRG9jLnhtbFBLAQIt&#10;ABQABgAIAAAAIQDk1vHW4wAAAA0BAAAPAAAAAAAAAAAAAAAAADgEAABkcnMvZG93bnJldi54bWxQ&#10;SwUGAAAAAAQABADzAAAASAUAAAAA&#10;" o:allowincell="f" filled="f" stroked="f">
              <v:textbox style="layout-flow:vertical;mso-layout-flow-alt:bottom-to-top">
                <w:txbxContent>
                  <w:p w14:paraId="6F1F1AF6" w14:textId="77777777" w:rsidR="00FD76A0" w:rsidRDefault="0026650D">
                    <w:pPr>
                      <w:jc w:val="center"/>
                      <w:rPr>
                        <w:rFonts w:ascii="Arial" w:hAnsi="Arial"/>
                        <w:color w:val="C0C0C0"/>
                        <w:sz w:val="36"/>
                        <w:lang w:val="en-US"/>
                      </w:rPr>
                    </w:pPr>
                    <w:r>
                      <w:rPr>
                        <w:rFonts w:ascii="Arial" w:hAnsi="Arial"/>
                        <w:color w:val="C0C0C0"/>
                        <w:sz w:val="36"/>
                        <w:lang w:val="en-US"/>
                      </w:rPr>
                      <w:t>UNAUTHORISED COPIES ARE NOT PERMITTED</w:t>
                    </w:r>
                  </w:p>
                </w:txbxContent>
              </v:textbox>
              <w10:wrap type="topAndBottom"/>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A7786" w14:textId="77777777" w:rsidR="000275D4" w:rsidRDefault="000275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B4C0DA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E5A3E0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8CC572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E104BD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DB205A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CFEACF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2CDDB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632AC1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6A2F7A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B8681A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3936DA"/>
    <w:multiLevelType w:val="multilevel"/>
    <w:tmpl w:val="00D8C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0B25D86"/>
    <w:multiLevelType w:val="multilevel"/>
    <w:tmpl w:val="6CCEB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2D440E4"/>
    <w:multiLevelType w:val="multilevel"/>
    <w:tmpl w:val="78549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38061B5"/>
    <w:multiLevelType w:val="hybridMultilevel"/>
    <w:tmpl w:val="5C5CB9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55E25A3"/>
    <w:multiLevelType w:val="multilevel"/>
    <w:tmpl w:val="210AF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8E737B6"/>
    <w:multiLevelType w:val="multilevel"/>
    <w:tmpl w:val="25023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DA10908"/>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1C608D9"/>
    <w:multiLevelType w:val="hybridMultilevel"/>
    <w:tmpl w:val="8AF425CA"/>
    <w:lvl w:ilvl="0" w:tplc="26E2F520">
      <w:start w:val="1"/>
      <w:numFmt w:val="bullet"/>
      <w:pStyle w:val="bullets"/>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13530DFC"/>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72F0EB2"/>
    <w:multiLevelType w:val="multilevel"/>
    <w:tmpl w:val="D9285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93D7C88"/>
    <w:multiLevelType w:val="hybridMultilevel"/>
    <w:tmpl w:val="A13622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AE040B9"/>
    <w:multiLevelType w:val="multilevel"/>
    <w:tmpl w:val="94340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C5D4D70"/>
    <w:multiLevelType w:val="multilevel"/>
    <w:tmpl w:val="28E2C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4313601"/>
    <w:multiLevelType w:val="hybridMultilevel"/>
    <w:tmpl w:val="EF58A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498038F"/>
    <w:multiLevelType w:val="multilevel"/>
    <w:tmpl w:val="5E182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4B73760"/>
    <w:multiLevelType w:val="multilevel"/>
    <w:tmpl w:val="4DCAD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4F74D89"/>
    <w:multiLevelType w:val="multilevel"/>
    <w:tmpl w:val="7E1A1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B453C64"/>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31D32F1D"/>
    <w:multiLevelType w:val="hybridMultilevel"/>
    <w:tmpl w:val="2AE63E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3A74241"/>
    <w:multiLevelType w:val="hybridMultilevel"/>
    <w:tmpl w:val="DC02B5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3B90C89"/>
    <w:multiLevelType w:val="singleLevel"/>
    <w:tmpl w:val="0C090001"/>
    <w:lvl w:ilvl="0">
      <w:start w:val="1"/>
      <w:numFmt w:val="bullet"/>
      <w:pStyle w:val="bullet-space"/>
      <w:lvlText w:val=""/>
      <w:lvlJc w:val="left"/>
      <w:pPr>
        <w:tabs>
          <w:tab w:val="num" w:pos="360"/>
        </w:tabs>
        <w:ind w:left="360" w:hanging="360"/>
      </w:pPr>
      <w:rPr>
        <w:rFonts w:ascii="Symbol" w:hAnsi="Symbol" w:hint="default"/>
      </w:rPr>
    </w:lvl>
  </w:abstractNum>
  <w:abstractNum w:abstractNumId="31" w15:restartNumberingAfterBreak="0">
    <w:nsid w:val="39D0152E"/>
    <w:multiLevelType w:val="hybridMultilevel"/>
    <w:tmpl w:val="69F2FA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ABA2E8F"/>
    <w:multiLevelType w:val="multilevel"/>
    <w:tmpl w:val="D2BE3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BD75421"/>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44C50A88"/>
    <w:multiLevelType w:val="multilevel"/>
    <w:tmpl w:val="531CD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80A7D43"/>
    <w:multiLevelType w:val="multilevel"/>
    <w:tmpl w:val="8FE26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8A23B39"/>
    <w:multiLevelType w:val="multilevel"/>
    <w:tmpl w:val="7226A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8FD4905"/>
    <w:multiLevelType w:val="hybridMultilevel"/>
    <w:tmpl w:val="10A62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A2C38B8"/>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D673141"/>
    <w:multiLevelType w:val="multilevel"/>
    <w:tmpl w:val="AB763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DA20E80"/>
    <w:multiLevelType w:val="multilevel"/>
    <w:tmpl w:val="E9923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E6F464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5078476B"/>
    <w:multiLevelType w:val="multilevel"/>
    <w:tmpl w:val="33B61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2EC676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52F36E0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53692CD7"/>
    <w:multiLevelType w:val="multilevel"/>
    <w:tmpl w:val="D0CE1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AC0353A"/>
    <w:multiLevelType w:val="hybridMultilevel"/>
    <w:tmpl w:val="3F10AC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5CAA424E"/>
    <w:multiLevelType w:val="multilevel"/>
    <w:tmpl w:val="FF0E8A5A"/>
    <w:lvl w:ilvl="0">
      <w:start w:val="2"/>
      <w:numFmt w:val="decimal"/>
      <w:lvlText w:val="%1.0"/>
      <w:lvlJc w:val="left"/>
      <w:pPr>
        <w:ind w:left="360" w:hanging="360"/>
      </w:pPr>
      <w:rPr>
        <w:rFonts w:hint="default"/>
        <w:i w:val="0"/>
      </w:rPr>
    </w:lvl>
    <w:lvl w:ilvl="1">
      <w:start w:val="1"/>
      <w:numFmt w:val="decimal"/>
      <w:lvlText w:val="%1.%2"/>
      <w:lvlJc w:val="left"/>
      <w:pPr>
        <w:ind w:left="1080" w:hanging="36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abstractNum w:abstractNumId="48" w15:restartNumberingAfterBreak="0">
    <w:nsid w:val="5D653F9C"/>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6169544C"/>
    <w:multiLevelType w:val="multilevel"/>
    <w:tmpl w:val="5D46E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3D23167"/>
    <w:multiLevelType w:val="multilevel"/>
    <w:tmpl w:val="E0A6F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7D80923"/>
    <w:multiLevelType w:val="hybridMultilevel"/>
    <w:tmpl w:val="7F86C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A1C7B89"/>
    <w:multiLevelType w:val="hybridMultilevel"/>
    <w:tmpl w:val="333600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6B987D5B"/>
    <w:multiLevelType w:val="multilevel"/>
    <w:tmpl w:val="D8A27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E6A22BC"/>
    <w:multiLevelType w:val="multilevel"/>
    <w:tmpl w:val="5F98D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0820061"/>
    <w:multiLevelType w:val="multilevel"/>
    <w:tmpl w:val="7E38C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1510E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78C97B16"/>
    <w:multiLevelType w:val="singleLevel"/>
    <w:tmpl w:val="ADE49010"/>
    <w:lvl w:ilvl="0">
      <w:start w:val="1"/>
      <w:numFmt w:val="bullet"/>
      <w:pStyle w:val="ListParagraph"/>
      <w:lvlText w:val=""/>
      <w:lvlJc w:val="left"/>
      <w:pPr>
        <w:tabs>
          <w:tab w:val="num" w:pos="360"/>
        </w:tabs>
        <w:ind w:left="360" w:hanging="360"/>
      </w:pPr>
      <w:rPr>
        <w:rFonts w:ascii="Symbol" w:hAnsi="Symbol" w:hint="default"/>
      </w:rPr>
    </w:lvl>
  </w:abstractNum>
  <w:num w:numId="1" w16cid:durableId="1255432382">
    <w:abstractNumId w:val="30"/>
  </w:num>
  <w:num w:numId="2" w16cid:durableId="1047798380">
    <w:abstractNumId w:val="18"/>
  </w:num>
  <w:num w:numId="3" w16cid:durableId="1550799060">
    <w:abstractNumId w:val="44"/>
  </w:num>
  <w:num w:numId="4" w16cid:durableId="1492990810">
    <w:abstractNumId w:val="41"/>
  </w:num>
  <w:num w:numId="5" w16cid:durableId="2015450868">
    <w:abstractNumId w:val="43"/>
  </w:num>
  <w:num w:numId="6" w16cid:durableId="120921638">
    <w:abstractNumId w:val="16"/>
  </w:num>
  <w:num w:numId="7" w16cid:durableId="1394432289">
    <w:abstractNumId w:val="57"/>
  </w:num>
  <w:num w:numId="8" w16cid:durableId="846483599">
    <w:abstractNumId w:val="48"/>
  </w:num>
  <w:num w:numId="9" w16cid:durableId="1175878268">
    <w:abstractNumId w:val="56"/>
  </w:num>
  <w:num w:numId="10" w16cid:durableId="1663504422">
    <w:abstractNumId w:val="7"/>
  </w:num>
  <w:num w:numId="11" w16cid:durableId="1681203510">
    <w:abstractNumId w:val="17"/>
  </w:num>
  <w:num w:numId="12" w16cid:durableId="676619259">
    <w:abstractNumId w:val="37"/>
  </w:num>
  <w:num w:numId="13" w16cid:durableId="2146846749">
    <w:abstractNumId w:val="23"/>
  </w:num>
  <w:num w:numId="14" w16cid:durableId="77603217">
    <w:abstractNumId w:val="45"/>
  </w:num>
  <w:num w:numId="15" w16cid:durableId="1579553198">
    <w:abstractNumId w:val="40"/>
  </w:num>
  <w:num w:numId="16" w16cid:durableId="19404484">
    <w:abstractNumId w:val="26"/>
  </w:num>
  <w:num w:numId="17" w16cid:durableId="942297091">
    <w:abstractNumId w:val="32"/>
  </w:num>
  <w:num w:numId="18" w16cid:durableId="1592618798">
    <w:abstractNumId w:val="54"/>
  </w:num>
  <w:num w:numId="19" w16cid:durableId="548808369">
    <w:abstractNumId w:val="10"/>
  </w:num>
  <w:num w:numId="20" w16cid:durableId="912620130">
    <w:abstractNumId w:val="39"/>
  </w:num>
  <w:num w:numId="21" w16cid:durableId="804352795">
    <w:abstractNumId w:val="19"/>
  </w:num>
  <w:num w:numId="22" w16cid:durableId="1198545287">
    <w:abstractNumId w:val="25"/>
  </w:num>
  <w:num w:numId="23" w16cid:durableId="1266957672">
    <w:abstractNumId w:val="34"/>
  </w:num>
  <w:num w:numId="24" w16cid:durableId="1070999603">
    <w:abstractNumId w:val="36"/>
  </w:num>
  <w:num w:numId="25" w16cid:durableId="932782640">
    <w:abstractNumId w:val="21"/>
  </w:num>
  <w:num w:numId="26" w16cid:durableId="531655478">
    <w:abstractNumId w:val="53"/>
  </w:num>
  <w:num w:numId="27" w16cid:durableId="1021862568">
    <w:abstractNumId w:val="57"/>
  </w:num>
  <w:num w:numId="28" w16cid:durableId="1884561107">
    <w:abstractNumId w:val="57"/>
  </w:num>
  <w:num w:numId="29" w16cid:durableId="466703751">
    <w:abstractNumId w:val="50"/>
  </w:num>
  <w:num w:numId="30" w16cid:durableId="947279716">
    <w:abstractNumId w:val="57"/>
  </w:num>
  <w:num w:numId="31" w16cid:durableId="1727338159">
    <w:abstractNumId w:val="47"/>
  </w:num>
  <w:num w:numId="32" w16cid:durableId="1158811758">
    <w:abstractNumId w:val="24"/>
  </w:num>
  <w:num w:numId="33" w16cid:durableId="62529588">
    <w:abstractNumId w:val="14"/>
  </w:num>
  <w:num w:numId="34" w16cid:durableId="148792371">
    <w:abstractNumId w:val="57"/>
  </w:num>
  <w:num w:numId="35" w16cid:durableId="2006123904">
    <w:abstractNumId w:val="42"/>
  </w:num>
  <w:num w:numId="36" w16cid:durableId="1647010845">
    <w:abstractNumId w:val="35"/>
  </w:num>
  <w:num w:numId="37" w16cid:durableId="368603538">
    <w:abstractNumId w:val="11"/>
  </w:num>
  <w:num w:numId="38" w16cid:durableId="1027561167">
    <w:abstractNumId w:val="12"/>
  </w:num>
  <w:num w:numId="39" w16cid:durableId="15275052">
    <w:abstractNumId w:val="49"/>
  </w:num>
  <w:num w:numId="40" w16cid:durableId="689335083">
    <w:abstractNumId w:val="15"/>
  </w:num>
  <w:num w:numId="41" w16cid:durableId="366486160">
    <w:abstractNumId w:val="22"/>
  </w:num>
  <w:num w:numId="42" w16cid:durableId="60909985">
    <w:abstractNumId w:val="55"/>
  </w:num>
  <w:num w:numId="43" w16cid:durableId="379943265">
    <w:abstractNumId w:val="57"/>
  </w:num>
  <w:num w:numId="44" w16cid:durableId="887449397">
    <w:abstractNumId w:val="57"/>
  </w:num>
  <w:num w:numId="45" w16cid:durableId="1168521261">
    <w:abstractNumId w:val="57"/>
  </w:num>
  <w:num w:numId="46" w16cid:durableId="677273513">
    <w:abstractNumId w:val="57"/>
  </w:num>
  <w:num w:numId="47" w16cid:durableId="700202538">
    <w:abstractNumId w:val="57"/>
  </w:num>
  <w:num w:numId="48" w16cid:durableId="71582296">
    <w:abstractNumId w:val="57"/>
  </w:num>
  <w:num w:numId="49" w16cid:durableId="1627590244">
    <w:abstractNumId w:val="57"/>
  </w:num>
  <w:num w:numId="50" w16cid:durableId="32925460">
    <w:abstractNumId w:val="57"/>
  </w:num>
  <w:num w:numId="51" w16cid:durableId="60717404">
    <w:abstractNumId w:val="57"/>
  </w:num>
  <w:num w:numId="52" w16cid:durableId="252325361">
    <w:abstractNumId w:val="57"/>
  </w:num>
  <w:num w:numId="53" w16cid:durableId="332881164">
    <w:abstractNumId w:val="38"/>
  </w:num>
  <w:num w:numId="54" w16cid:durableId="97607778">
    <w:abstractNumId w:val="33"/>
  </w:num>
  <w:num w:numId="55" w16cid:durableId="1727676407">
    <w:abstractNumId w:val="27"/>
  </w:num>
  <w:num w:numId="56" w16cid:durableId="1102337568">
    <w:abstractNumId w:val="9"/>
  </w:num>
  <w:num w:numId="57" w16cid:durableId="897206964">
    <w:abstractNumId w:val="6"/>
  </w:num>
  <w:num w:numId="58" w16cid:durableId="1820422025">
    <w:abstractNumId w:val="5"/>
  </w:num>
  <w:num w:numId="59" w16cid:durableId="288979017">
    <w:abstractNumId w:val="4"/>
  </w:num>
  <w:num w:numId="60" w16cid:durableId="1994675431">
    <w:abstractNumId w:val="8"/>
  </w:num>
  <w:num w:numId="61" w16cid:durableId="680159129">
    <w:abstractNumId w:val="3"/>
  </w:num>
  <w:num w:numId="62" w16cid:durableId="1829711182">
    <w:abstractNumId w:val="2"/>
  </w:num>
  <w:num w:numId="63" w16cid:durableId="756564000">
    <w:abstractNumId w:val="1"/>
  </w:num>
  <w:num w:numId="64" w16cid:durableId="650445107">
    <w:abstractNumId w:val="0"/>
  </w:num>
  <w:num w:numId="65" w16cid:durableId="626280164">
    <w:abstractNumId w:val="28"/>
  </w:num>
  <w:num w:numId="66" w16cid:durableId="1867257175">
    <w:abstractNumId w:val="57"/>
  </w:num>
  <w:num w:numId="67" w16cid:durableId="594553517">
    <w:abstractNumId w:val="51"/>
  </w:num>
  <w:num w:numId="68" w16cid:durableId="600456654">
    <w:abstractNumId w:val="46"/>
  </w:num>
  <w:num w:numId="69" w16cid:durableId="1208032530">
    <w:abstractNumId w:val="13"/>
  </w:num>
  <w:num w:numId="70" w16cid:durableId="1094277146">
    <w:abstractNumId w:val="20"/>
  </w:num>
  <w:num w:numId="71" w16cid:durableId="1569851132">
    <w:abstractNumId w:val="29"/>
  </w:num>
  <w:num w:numId="72" w16cid:durableId="642202426">
    <w:abstractNumId w:val="52"/>
  </w:num>
  <w:num w:numId="73" w16cid:durableId="1846019386">
    <w:abstractNumId w:val="31"/>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6A0"/>
    <w:rsid w:val="000003EA"/>
    <w:rsid w:val="000275D4"/>
    <w:rsid w:val="00033F9C"/>
    <w:rsid w:val="00060BB1"/>
    <w:rsid w:val="0007727E"/>
    <w:rsid w:val="000C2458"/>
    <w:rsid w:val="000F49E6"/>
    <w:rsid w:val="0013759D"/>
    <w:rsid w:val="00141081"/>
    <w:rsid w:val="00143AFD"/>
    <w:rsid w:val="00196BA5"/>
    <w:rsid w:val="001B575F"/>
    <w:rsid w:val="001D2D3C"/>
    <w:rsid w:val="001F3C13"/>
    <w:rsid w:val="002201F2"/>
    <w:rsid w:val="00222C19"/>
    <w:rsid w:val="00223276"/>
    <w:rsid w:val="0023343A"/>
    <w:rsid w:val="0024648A"/>
    <w:rsid w:val="00250945"/>
    <w:rsid w:val="00261839"/>
    <w:rsid w:val="0026650D"/>
    <w:rsid w:val="002B34A7"/>
    <w:rsid w:val="002B44E8"/>
    <w:rsid w:val="002E48E7"/>
    <w:rsid w:val="002E7D0F"/>
    <w:rsid w:val="002F0271"/>
    <w:rsid w:val="00320C6A"/>
    <w:rsid w:val="0037749B"/>
    <w:rsid w:val="00385421"/>
    <w:rsid w:val="003A2576"/>
    <w:rsid w:val="003C5341"/>
    <w:rsid w:val="003E4302"/>
    <w:rsid w:val="00443374"/>
    <w:rsid w:val="00452D48"/>
    <w:rsid w:val="00453488"/>
    <w:rsid w:val="00460782"/>
    <w:rsid w:val="004633F4"/>
    <w:rsid w:val="00475850"/>
    <w:rsid w:val="004A2C87"/>
    <w:rsid w:val="004B246C"/>
    <w:rsid w:val="004F7D00"/>
    <w:rsid w:val="005008DD"/>
    <w:rsid w:val="00506EA6"/>
    <w:rsid w:val="00542649"/>
    <w:rsid w:val="0055086A"/>
    <w:rsid w:val="005749B9"/>
    <w:rsid w:val="005E592C"/>
    <w:rsid w:val="00610149"/>
    <w:rsid w:val="00617CD3"/>
    <w:rsid w:val="006301AF"/>
    <w:rsid w:val="006364F4"/>
    <w:rsid w:val="00665560"/>
    <w:rsid w:val="0069223B"/>
    <w:rsid w:val="006C1D01"/>
    <w:rsid w:val="006D32F2"/>
    <w:rsid w:val="006F085A"/>
    <w:rsid w:val="006F74FD"/>
    <w:rsid w:val="00735B9C"/>
    <w:rsid w:val="00740D53"/>
    <w:rsid w:val="00753C14"/>
    <w:rsid w:val="00777F88"/>
    <w:rsid w:val="007950C3"/>
    <w:rsid w:val="007A5863"/>
    <w:rsid w:val="007D1164"/>
    <w:rsid w:val="00810CF3"/>
    <w:rsid w:val="008175FD"/>
    <w:rsid w:val="00843DF2"/>
    <w:rsid w:val="00882FC9"/>
    <w:rsid w:val="0088758E"/>
    <w:rsid w:val="008955FD"/>
    <w:rsid w:val="008A7EDB"/>
    <w:rsid w:val="008B1192"/>
    <w:rsid w:val="008C7A4F"/>
    <w:rsid w:val="008D47DC"/>
    <w:rsid w:val="008E1D79"/>
    <w:rsid w:val="008F23C3"/>
    <w:rsid w:val="009001D6"/>
    <w:rsid w:val="00946E2B"/>
    <w:rsid w:val="0094738C"/>
    <w:rsid w:val="009736E3"/>
    <w:rsid w:val="009879EA"/>
    <w:rsid w:val="00997CDC"/>
    <w:rsid w:val="00A21A72"/>
    <w:rsid w:val="00A31E3B"/>
    <w:rsid w:val="00A34E77"/>
    <w:rsid w:val="00A35A1C"/>
    <w:rsid w:val="00A406AC"/>
    <w:rsid w:val="00A504FF"/>
    <w:rsid w:val="00A57C7D"/>
    <w:rsid w:val="00A874DC"/>
    <w:rsid w:val="00A87E4B"/>
    <w:rsid w:val="00A920EF"/>
    <w:rsid w:val="00AB4D29"/>
    <w:rsid w:val="00AC17CC"/>
    <w:rsid w:val="00AF2246"/>
    <w:rsid w:val="00B05B16"/>
    <w:rsid w:val="00B12F2C"/>
    <w:rsid w:val="00B163C3"/>
    <w:rsid w:val="00B1749F"/>
    <w:rsid w:val="00B22138"/>
    <w:rsid w:val="00B24AB5"/>
    <w:rsid w:val="00B50664"/>
    <w:rsid w:val="00B9168D"/>
    <w:rsid w:val="00B97841"/>
    <w:rsid w:val="00BA2DA1"/>
    <w:rsid w:val="00BB27AD"/>
    <w:rsid w:val="00BD4AF5"/>
    <w:rsid w:val="00C06D0D"/>
    <w:rsid w:val="00C177E1"/>
    <w:rsid w:val="00C3077D"/>
    <w:rsid w:val="00C32A30"/>
    <w:rsid w:val="00C77FCD"/>
    <w:rsid w:val="00C97A0B"/>
    <w:rsid w:val="00CF7FC3"/>
    <w:rsid w:val="00D5319E"/>
    <w:rsid w:val="00D62F75"/>
    <w:rsid w:val="00D81D95"/>
    <w:rsid w:val="00D82BCE"/>
    <w:rsid w:val="00DA1480"/>
    <w:rsid w:val="00DC215F"/>
    <w:rsid w:val="00DE14D7"/>
    <w:rsid w:val="00E502F9"/>
    <w:rsid w:val="00E63573"/>
    <w:rsid w:val="00E80A8F"/>
    <w:rsid w:val="00E857B5"/>
    <w:rsid w:val="00EC5EDA"/>
    <w:rsid w:val="00EC7959"/>
    <w:rsid w:val="00EE359A"/>
    <w:rsid w:val="00F13CA2"/>
    <w:rsid w:val="00F13F2A"/>
    <w:rsid w:val="00F3048B"/>
    <w:rsid w:val="00F60790"/>
    <w:rsid w:val="00F729C2"/>
    <w:rsid w:val="00F95E67"/>
    <w:rsid w:val="00FB628A"/>
    <w:rsid w:val="00FD76A0"/>
    <w:rsid w:val="183D16E8"/>
    <w:rsid w:val="4D588B91"/>
    <w:rsid w:val="5EEA713F"/>
    <w:rsid w:val="6947BAB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CB5079"/>
  <w15:docId w15:val="{B3405AEE-855C-4998-94D0-C33DCF5C3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2" w:qFormat="1"/>
    <w:lsdException w:name="heading 2" w:uiPriority="3" w:qFormat="1"/>
    <w:lsdException w:name="heading 3" w:uiPriority="4" w:qFormat="1"/>
    <w:lsdException w:name="heading 4" w:semiHidden="1" w:uiPriority="4" w:unhideWhenUsed="1" w:qFormat="1"/>
    <w:lsdException w:name="heading 5" w:semiHidden="1" w:uiPriority="4" w:unhideWhenUsed="1" w:qFormat="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3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3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uiPriority w:val="2"/>
    <w:qFormat/>
    <w:pPr>
      <w:keepNext/>
      <w:spacing w:before="240" w:after="60"/>
      <w:outlineLvl w:val="0"/>
    </w:pPr>
    <w:rPr>
      <w:rFonts w:ascii="Arial" w:hAnsi="Arial"/>
      <w:b/>
      <w:kern w:val="28"/>
      <w:sz w:val="28"/>
    </w:rPr>
  </w:style>
  <w:style w:type="paragraph" w:styleId="Heading2">
    <w:name w:val="heading 2"/>
    <w:basedOn w:val="Normal"/>
    <w:next w:val="Normal"/>
    <w:uiPriority w:val="3"/>
    <w:qFormat/>
    <w:pPr>
      <w:keepNext/>
      <w:spacing w:before="240" w:after="60"/>
      <w:outlineLvl w:val="1"/>
    </w:pPr>
    <w:rPr>
      <w:rFonts w:ascii="Arial" w:hAnsi="Arial"/>
      <w:b/>
      <w:i/>
      <w:sz w:val="24"/>
    </w:rPr>
  </w:style>
  <w:style w:type="paragraph" w:styleId="Heading3">
    <w:name w:val="heading 3"/>
    <w:basedOn w:val="Normal"/>
    <w:next w:val="Normal"/>
    <w:uiPriority w:val="4"/>
    <w:qFormat/>
    <w:pPr>
      <w:keepNext/>
      <w:widowControl w:val="0"/>
      <w:autoSpaceDE w:val="0"/>
      <w:autoSpaceDN w:val="0"/>
      <w:adjustRightInd w:val="0"/>
      <w:jc w:val="both"/>
      <w:outlineLvl w:val="2"/>
    </w:pPr>
    <w:rPr>
      <w:b/>
      <w:sz w:val="24"/>
    </w:rPr>
  </w:style>
  <w:style w:type="paragraph" w:styleId="Heading4">
    <w:name w:val="heading 4"/>
    <w:basedOn w:val="Normal"/>
    <w:next w:val="Normal"/>
    <w:link w:val="Heading4Char"/>
    <w:uiPriority w:val="4"/>
    <w:semiHidden/>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4"/>
    <w:semiHidden/>
    <w:unhideWhenUsed/>
    <w:qFormat/>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uiPriority w:val="39"/>
    <w:pPr>
      <w:tabs>
        <w:tab w:val="center" w:pos="4153"/>
        <w:tab w:val="right" w:pos="8306"/>
      </w:tabs>
    </w:pPr>
  </w:style>
  <w:style w:type="character" w:styleId="PageNumber">
    <w:name w:val="page number"/>
    <w:basedOn w:val="DefaultParagraphFont"/>
    <w:uiPriority w:val="39"/>
  </w:style>
  <w:style w:type="paragraph" w:styleId="Title">
    <w:name w:val="Title"/>
    <w:basedOn w:val="Normal"/>
    <w:pPr>
      <w:jc w:val="center"/>
    </w:pPr>
    <w:rPr>
      <w:b/>
      <w:lang w:val="en-US"/>
    </w:rPr>
  </w:style>
  <w:style w:type="paragraph" w:styleId="BodyText">
    <w:name w:val="Body Text"/>
    <w:basedOn w:val="Normal"/>
    <w:link w:val="BodyTextChar"/>
    <w:pPr>
      <w:jc w:val="both"/>
    </w:pPr>
    <w:rPr>
      <w:sz w:val="24"/>
    </w:rPr>
  </w:style>
  <w:style w:type="paragraph" w:customStyle="1" w:styleId="DocumentTitle">
    <w:name w:val="DocumentTitle"/>
    <w:basedOn w:val="Normal"/>
    <w:pPr>
      <w:jc w:val="center"/>
    </w:pPr>
    <w:rPr>
      <w:rFonts w:ascii="Arial" w:hAnsi="Arial"/>
      <w:b/>
      <w:sz w:val="28"/>
    </w:rPr>
  </w:style>
  <w:style w:type="paragraph" w:styleId="BodyTextIndent">
    <w:name w:val="Body Text Indent"/>
    <w:basedOn w:val="Normal"/>
    <w:link w:val="BodyTextIndentChar"/>
    <w:pPr>
      <w:ind w:left="720"/>
      <w:jc w:val="both"/>
    </w:pPr>
    <w:rPr>
      <w:i/>
    </w:rPr>
  </w:style>
  <w:style w:type="paragraph" w:styleId="BodyText2">
    <w:name w:val="Body Text 2"/>
    <w:basedOn w:val="Normal"/>
    <w:rPr>
      <w:b/>
      <w:sz w:val="24"/>
    </w:rPr>
  </w:style>
  <w:style w:type="character" w:styleId="CommentReference">
    <w:name w:val="annotation reference"/>
    <w:basedOn w:val="DefaultParagraphFont"/>
    <w:rPr>
      <w:sz w:val="16"/>
    </w:rPr>
  </w:style>
  <w:style w:type="paragraph" w:styleId="CommentText">
    <w:name w:val="annotation text"/>
    <w:basedOn w:val="Normal"/>
    <w:link w:val="CommentTextCha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rPr>
  </w:style>
  <w:style w:type="paragraph" w:customStyle="1" w:styleId="bullet-space">
    <w:name w:val="bullet - space"/>
    <w:basedOn w:val="Normal"/>
    <w:pPr>
      <w:numPr>
        <w:numId w:val="1"/>
      </w:numPr>
      <w:spacing w:before="60" w:after="60"/>
      <w:ind w:left="567" w:hanging="567"/>
      <w:jc w:val="both"/>
    </w:pPr>
    <w:rPr>
      <w:rFonts w:ascii="Arial" w:hAnsi="Arial"/>
      <w:sz w:val="22"/>
    </w:rPr>
  </w:style>
  <w:style w:type="paragraph" w:customStyle="1" w:styleId="Bullet">
    <w:name w:val="Bullet"/>
    <w:basedOn w:val="Normal"/>
    <w:pPr>
      <w:tabs>
        <w:tab w:val="num" w:pos="720"/>
      </w:tabs>
      <w:spacing w:before="240"/>
      <w:ind w:left="720" w:hanging="360"/>
      <w:jc w:val="both"/>
    </w:pPr>
    <w:rPr>
      <w:rFonts w:ascii="Tahoma" w:hAnsi="Tahoma" w:cs="Tahoma"/>
      <w:sz w:val="22"/>
      <w:szCs w:val="22"/>
    </w:rPr>
  </w:style>
  <w:style w:type="paragraph" w:customStyle="1" w:styleId="bullets">
    <w:name w:val="bullets"/>
    <w:basedOn w:val="BodyText"/>
    <w:pPr>
      <w:numPr>
        <w:numId w:val="11"/>
      </w:numPr>
      <w:tabs>
        <w:tab w:val="clear" w:pos="360"/>
        <w:tab w:val="num" w:pos="540"/>
      </w:tabs>
      <w:ind w:left="540" w:hanging="540"/>
    </w:pPr>
    <w:rPr>
      <w:rFonts w:ascii="Century Gothic" w:hAnsi="Century Gothic" w:cs="Tahoma"/>
      <w:bCs/>
      <w:sz w:val="20"/>
      <w:szCs w:val="22"/>
      <w:lang w:val="en-US"/>
    </w:rPr>
  </w:style>
  <w:style w:type="paragraph" w:styleId="ListParagraph">
    <w:name w:val="List Paragraph"/>
    <w:basedOn w:val="Normal"/>
    <w:uiPriority w:val="34"/>
    <w:pPr>
      <w:numPr>
        <w:numId w:val="7"/>
      </w:numPr>
      <w:tabs>
        <w:tab w:val="left" w:pos="1134"/>
      </w:tabs>
      <w:spacing w:before="120" w:after="120" w:line="276" w:lineRule="auto"/>
      <w:contextualSpacing/>
      <w:jc w:val="both"/>
    </w:pPr>
    <w:rPr>
      <w:rFonts w:ascii="Arial" w:hAnsi="Arial" w:cs="Arial"/>
    </w:rPr>
  </w:style>
  <w:style w:type="paragraph" w:styleId="Revision">
    <w:name w:val="Revision"/>
    <w:hidden/>
    <w:uiPriority w:val="99"/>
    <w:semiHidden/>
    <w:rPr>
      <w:lang w:eastAsia="en-US"/>
    </w:rPr>
  </w:style>
  <w:style w:type="character" w:customStyle="1" w:styleId="Heading4Char">
    <w:name w:val="Heading 4 Char"/>
    <w:basedOn w:val="DefaultParagraphFont"/>
    <w:link w:val="Heading4"/>
    <w:semiHidden/>
    <w:rPr>
      <w:rFonts w:asciiTheme="majorHAnsi" w:eastAsiaTheme="majorEastAsia" w:hAnsiTheme="majorHAnsi" w:cstheme="majorBidi"/>
      <w:i/>
      <w:iCs/>
      <w:color w:val="365F91" w:themeColor="accent1" w:themeShade="BF"/>
      <w:lang w:eastAsia="en-US"/>
    </w:rPr>
  </w:style>
  <w:style w:type="paragraph" w:customStyle="1" w:styleId="sc-jfgfw">
    <w:name w:val="sc-jfgfw"/>
    <w:basedOn w:val="Normal"/>
    <w:pPr>
      <w:spacing w:before="100" w:beforeAutospacing="1" w:after="100" w:afterAutospacing="1"/>
    </w:pPr>
    <w:rPr>
      <w:sz w:val="24"/>
      <w:szCs w:val="24"/>
      <w:lang w:eastAsia="en-AU"/>
    </w:rPr>
  </w:style>
  <w:style w:type="character" w:styleId="Strong">
    <w:name w:val="Strong"/>
    <w:basedOn w:val="DefaultParagraphFont"/>
    <w:uiPriority w:val="22"/>
    <w:rPr>
      <w:b/>
      <w:bCs/>
    </w:rPr>
  </w:style>
  <w:style w:type="paragraph" w:customStyle="1" w:styleId="sc-lnnytw">
    <w:name w:val="sc-lnnytw"/>
    <w:basedOn w:val="Normal"/>
    <w:pPr>
      <w:spacing w:before="100" w:beforeAutospacing="1" w:after="100" w:afterAutospacing="1"/>
    </w:pPr>
    <w:rPr>
      <w:sz w:val="24"/>
      <w:szCs w:val="24"/>
      <w:lang w:eastAsia="en-AU"/>
    </w:rPr>
  </w:style>
  <w:style w:type="character" w:customStyle="1" w:styleId="BodyTextChar">
    <w:name w:val="Body Text Char"/>
    <w:basedOn w:val="DefaultParagraphFont"/>
    <w:link w:val="BodyText"/>
    <w:rPr>
      <w:sz w:val="24"/>
      <w:lang w:eastAsia="en-US"/>
    </w:rPr>
  </w:style>
  <w:style w:type="character" w:customStyle="1" w:styleId="CommentTextChar">
    <w:name w:val="Comment Text Char"/>
    <w:basedOn w:val="DefaultParagraphFont"/>
    <w:link w:val="CommentText"/>
    <w:rPr>
      <w:lang w:eastAsia="en-US"/>
    </w:rPr>
  </w:style>
  <w:style w:type="numbering" w:styleId="111111">
    <w:name w:val="Outline List 2"/>
    <w:basedOn w:val="NoList"/>
    <w:semiHidden/>
    <w:unhideWhenUsed/>
    <w:pPr>
      <w:numPr>
        <w:numId w:val="53"/>
      </w:numPr>
    </w:pPr>
  </w:style>
  <w:style w:type="numbering" w:styleId="1ai">
    <w:name w:val="Outline List 1"/>
    <w:basedOn w:val="NoList"/>
    <w:semiHidden/>
    <w:unhideWhenUsed/>
    <w:pPr>
      <w:numPr>
        <w:numId w:val="54"/>
      </w:numPr>
    </w:pPr>
  </w:style>
  <w:style w:type="character" w:customStyle="1" w:styleId="Heading5Char">
    <w:name w:val="Heading 5 Char"/>
    <w:basedOn w:val="DefaultParagraphFont"/>
    <w:link w:val="Heading5"/>
    <w:semiHidden/>
    <w:rPr>
      <w:rFonts w:asciiTheme="majorHAnsi" w:eastAsiaTheme="majorEastAsia" w:hAnsiTheme="majorHAnsi" w:cstheme="majorBidi"/>
      <w:color w:val="365F91" w:themeColor="accent1" w:themeShade="BF"/>
      <w:lang w:eastAsia="en-US"/>
    </w:rPr>
  </w:style>
  <w:style w:type="character" w:customStyle="1" w:styleId="Heading6Char">
    <w:name w:val="Heading 6 Char"/>
    <w:basedOn w:val="DefaultParagraphFont"/>
    <w:link w:val="Heading6"/>
    <w:semiHidden/>
    <w:rPr>
      <w:rFonts w:asciiTheme="majorHAnsi" w:eastAsiaTheme="majorEastAsia" w:hAnsiTheme="majorHAnsi" w:cstheme="majorBidi"/>
      <w:color w:val="243F60" w:themeColor="accent1" w:themeShade="7F"/>
      <w:lang w:eastAsia="en-US"/>
    </w:rPr>
  </w:style>
  <w:style w:type="character" w:customStyle="1" w:styleId="Heading7Char">
    <w:name w:val="Heading 7 Char"/>
    <w:basedOn w:val="DefaultParagraphFont"/>
    <w:link w:val="Heading7"/>
    <w:semiHidden/>
    <w:rPr>
      <w:rFonts w:asciiTheme="majorHAnsi" w:eastAsiaTheme="majorEastAsia" w:hAnsiTheme="majorHAnsi" w:cstheme="majorBidi"/>
      <w:i/>
      <w:iCs/>
      <w:color w:val="243F60" w:themeColor="accent1" w:themeShade="7F"/>
      <w:lang w:eastAsia="en-US"/>
    </w:rPr>
  </w:style>
  <w:style w:type="character" w:customStyle="1" w:styleId="Heading8Char">
    <w:name w:val="Heading 8 Char"/>
    <w:basedOn w:val="DefaultParagraphFont"/>
    <w:link w:val="Heading8"/>
    <w:semiHidden/>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Pr>
      <w:rFonts w:asciiTheme="majorHAnsi" w:eastAsiaTheme="majorEastAsia" w:hAnsiTheme="majorHAnsi" w:cstheme="majorBidi"/>
      <w:i/>
      <w:iCs/>
      <w:color w:val="272727" w:themeColor="text1" w:themeTint="D8"/>
      <w:sz w:val="21"/>
      <w:szCs w:val="21"/>
      <w:lang w:eastAsia="en-US"/>
    </w:rPr>
  </w:style>
  <w:style w:type="numbering" w:styleId="ArticleSection">
    <w:name w:val="Outline List 3"/>
    <w:basedOn w:val="NoList"/>
    <w:semiHidden/>
    <w:unhideWhenUsed/>
    <w:pPr>
      <w:numPr>
        <w:numId w:val="55"/>
      </w:numPr>
    </w:pPr>
  </w:style>
  <w:style w:type="paragraph" w:styleId="Bibliography">
    <w:name w:val="Bibliography"/>
    <w:basedOn w:val="Normal"/>
    <w:next w:val="Normal"/>
    <w:uiPriority w:val="37"/>
    <w:semiHidden/>
    <w:unhideWhenUsed/>
  </w:style>
  <w:style w:type="paragraph" w:styleId="BlockText">
    <w:name w:val="Block Text"/>
    <w:basedOn w:val="Normal"/>
    <w:semiHidden/>
    <w:unhideWhenUse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semiHidden/>
    <w:unhideWhenUsed/>
    <w:pPr>
      <w:spacing w:after="120"/>
    </w:pPr>
    <w:rPr>
      <w:sz w:val="16"/>
      <w:szCs w:val="16"/>
    </w:rPr>
  </w:style>
  <w:style w:type="character" w:customStyle="1" w:styleId="BodyText3Char">
    <w:name w:val="Body Text 3 Char"/>
    <w:basedOn w:val="DefaultParagraphFont"/>
    <w:link w:val="BodyText3"/>
    <w:semiHidden/>
    <w:rPr>
      <w:sz w:val="16"/>
      <w:szCs w:val="16"/>
      <w:lang w:eastAsia="en-US"/>
    </w:rPr>
  </w:style>
  <w:style w:type="paragraph" w:styleId="BodyTextFirstIndent">
    <w:name w:val="Body Text First Indent"/>
    <w:basedOn w:val="BodyText"/>
    <w:link w:val="BodyTextFirstIndentChar"/>
    <w:pPr>
      <w:ind w:firstLine="360"/>
      <w:jc w:val="left"/>
    </w:pPr>
    <w:rPr>
      <w:sz w:val="20"/>
    </w:rPr>
  </w:style>
  <w:style w:type="character" w:customStyle="1" w:styleId="BodyTextFirstIndentChar">
    <w:name w:val="Body Text First Indent Char"/>
    <w:basedOn w:val="BodyTextChar"/>
    <w:link w:val="BodyTextFirstIndent"/>
    <w:rPr>
      <w:sz w:val="24"/>
      <w:lang w:eastAsia="en-US"/>
    </w:rPr>
  </w:style>
  <w:style w:type="paragraph" w:styleId="BodyTextFirstIndent2">
    <w:name w:val="Body Text First Indent 2"/>
    <w:basedOn w:val="BodyTextIndent"/>
    <w:link w:val="BodyTextFirstIndent2Char"/>
    <w:semiHidden/>
    <w:unhideWhenUsed/>
    <w:pPr>
      <w:ind w:left="360" w:firstLine="360"/>
      <w:jc w:val="left"/>
    </w:pPr>
    <w:rPr>
      <w:i w:val="0"/>
    </w:rPr>
  </w:style>
  <w:style w:type="character" w:customStyle="1" w:styleId="BodyTextIndentChar">
    <w:name w:val="Body Text Indent Char"/>
    <w:basedOn w:val="DefaultParagraphFont"/>
    <w:link w:val="BodyTextIndent"/>
    <w:rPr>
      <w:i/>
      <w:lang w:eastAsia="en-US"/>
    </w:rPr>
  </w:style>
  <w:style w:type="character" w:customStyle="1" w:styleId="BodyTextFirstIndent2Char">
    <w:name w:val="Body Text First Indent 2 Char"/>
    <w:basedOn w:val="BodyTextIndentChar"/>
    <w:link w:val="BodyTextFirstIndent2"/>
    <w:semiHidden/>
    <w:rPr>
      <w:i w:val="0"/>
      <w:lang w:eastAsia="en-US"/>
    </w:rPr>
  </w:style>
  <w:style w:type="paragraph" w:styleId="BodyTextIndent2">
    <w:name w:val="Body Text Indent 2"/>
    <w:basedOn w:val="Normal"/>
    <w:link w:val="BodyTextIndent2Char"/>
    <w:semiHidden/>
    <w:unhideWhenUsed/>
    <w:pPr>
      <w:spacing w:after="120" w:line="480" w:lineRule="auto"/>
      <w:ind w:left="283"/>
    </w:pPr>
  </w:style>
  <w:style w:type="character" w:customStyle="1" w:styleId="BodyTextIndent2Char">
    <w:name w:val="Body Text Indent 2 Char"/>
    <w:basedOn w:val="DefaultParagraphFont"/>
    <w:link w:val="BodyTextIndent2"/>
    <w:semiHidden/>
    <w:rPr>
      <w:lang w:eastAsia="en-US"/>
    </w:rPr>
  </w:style>
  <w:style w:type="paragraph" w:styleId="BodyTextIndent3">
    <w:name w:val="Body Text Indent 3"/>
    <w:basedOn w:val="Normal"/>
    <w:link w:val="BodyTextIndent3Char"/>
    <w:semiHidden/>
    <w:unhideWhenUsed/>
    <w:pPr>
      <w:spacing w:after="120"/>
      <w:ind w:left="283"/>
    </w:pPr>
    <w:rPr>
      <w:sz w:val="16"/>
      <w:szCs w:val="16"/>
    </w:rPr>
  </w:style>
  <w:style w:type="character" w:customStyle="1" w:styleId="BodyTextIndent3Char">
    <w:name w:val="Body Text Indent 3 Char"/>
    <w:basedOn w:val="DefaultParagraphFont"/>
    <w:link w:val="BodyTextIndent3"/>
    <w:semiHidden/>
    <w:rPr>
      <w:sz w:val="16"/>
      <w:szCs w:val="16"/>
      <w:lang w:eastAsia="en-US"/>
    </w:rPr>
  </w:style>
  <w:style w:type="character" w:styleId="BookTitle">
    <w:name w:val="Book Title"/>
    <w:basedOn w:val="DefaultParagraphFont"/>
    <w:uiPriority w:val="33"/>
    <w:rPr>
      <w:b/>
      <w:bCs/>
      <w:i/>
      <w:iCs/>
      <w:spacing w:val="5"/>
    </w:rPr>
  </w:style>
  <w:style w:type="paragraph" w:styleId="Caption">
    <w:name w:val="caption"/>
    <w:basedOn w:val="Normal"/>
    <w:next w:val="Normal"/>
    <w:semiHidden/>
    <w:unhideWhenUsed/>
    <w:pPr>
      <w:spacing w:after="200"/>
    </w:pPr>
    <w:rPr>
      <w:i/>
      <w:iCs/>
      <w:color w:val="1F497D" w:themeColor="text2"/>
      <w:sz w:val="18"/>
      <w:szCs w:val="18"/>
    </w:rPr>
  </w:style>
  <w:style w:type="paragraph" w:styleId="Closing">
    <w:name w:val="Closing"/>
    <w:basedOn w:val="Normal"/>
    <w:link w:val="ClosingChar"/>
    <w:semiHidden/>
    <w:unhideWhenUsed/>
    <w:pPr>
      <w:ind w:left="4252"/>
    </w:pPr>
  </w:style>
  <w:style w:type="character" w:customStyle="1" w:styleId="ClosingChar">
    <w:name w:val="Closing Char"/>
    <w:basedOn w:val="DefaultParagraphFont"/>
    <w:link w:val="Closing"/>
    <w:semiHidden/>
    <w:rPr>
      <w:lang w:eastAsia="en-US"/>
    </w:rPr>
  </w:style>
  <w:style w:type="table" w:styleId="ColorfulGrid">
    <w:name w:val="Colorful Grid"/>
    <w:basedOn w:val="TableNormal"/>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style>
  <w:style w:type="character" w:customStyle="1" w:styleId="DateChar">
    <w:name w:val="Date Char"/>
    <w:basedOn w:val="DefaultParagraphFont"/>
    <w:link w:val="Date"/>
    <w:rPr>
      <w:lang w:eastAsia="en-US"/>
    </w:rPr>
  </w:style>
  <w:style w:type="paragraph" w:styleId="DocumentMap">
    <w:name w:val="Document Map"/>
    <w:basedOn w:val="Normal"/>
    <w:link w:val="DocumentMapChar"/>
    <w:semiHidden/>
    <w:unhideWhenUsed/>
    <w:rPr>
      <w:rFonts w:ascii="Segoe UI" w:hAnsi="Segoe UI" w:cs="Segoe UI"/>
      <w:sz w:val="16"/>
      <w:szCs w:val="16"/>
    </w:rPr>
  </w:style>
  <w:style w:type="character" w:customStyle="1" w:styleId="DocumentMapChar">
    <w:name w:val="Document Map Char"/>
    <w:basedOn w:val="DefaultParagraphFont"/>
    <w:link w:val="DocumentMap"/>
    <w:semiHidden/>
    <w:rPr>
      <w:rFonts w:ascii="Segoe UI" w:hAnsi="Segoe UI" w:cs="Segoe UI"/>
      <w:sz w:val="16"/>
      <w:szCs w:val="16"/>
      <w:lang w:eastAsia="en-US"/>
    </w:rPr>
  </w:style>
  <w:style w:type="paragraph" w:styleId="E-mailSignature">
    <w:name w:val="E-mail Signature"/>
    <w:basedOn w:val="Normal"/>
    <w:link w:val="E-mailSignatureChar"/>
    <w:semiHidden/>
    <w:unhideWhenUsed/>
  </w:style>
  <w:style w:type="character" w:customStyle="1" w:styleId="E-mailSignatureChar">
    <w:name w:val="E-mail Signature Char"/>
    <w:basedOn w:val="DefaultParagraphFont"/>
    <w:link w:val="E-mailSignature"/>
    <w:semiHidden/>
    <w:rPr>
      <w:lang w:eastAsia="en-US"/>
    </w:rPr>
  </w:style>
  <w:style w:type="character" w:styleId="Emphasis">
    <w:name w:val="Emphasis"/>
    <w:basedOn w:val="DefaultParagraphFont"/>
    <w:rPr>
      <w:i/>
      <w:iCs/>
    </w:rPr>
  </w:style>
  <w:style w:type="character" w:styleId="EndnoteReference">
    <w:name w:val="endnote reference"/>
    <w:basedOn w:val="DefaultParagraphFont"/>
    <w:semiHidden/>
    <w:unhideWhenUsed/>
    <w:rPr>
      <w:vertAlign w:val="superscript"/>
    </w:rPr>
  </w:style>
  <w:style w:type="paragraph" w:styleId="EndnoteText">
    <w:name w:val="endnote text"/>
    <w:basedOn w:val="Normal"/>
    <w:link w:val="EndnoteTextChar"/>
    <w:semiHidden/>
    <w:unhideWhenUsed/>
  </w:style>
  <w:style w:type="character" w:customStyle="1" w:styleId="EndnoteTextChar">
    <w:name w:val="Endnote Text Char"/>
    <w:basedOn w:val="DefaultParagraphFont"/>
    <w:link w:val="EndnoteText"/>
    <w:semiHidden/>
    <w:rPr>
      <w:lang w:eastAsia="en-US"/>
    </w:rPr>
  </w:style>
  <w:style w:type="paragraph" w:styleId="EnvelopeAddress">
    <w:name w:val="envelope address"/>
    <w:basedOn w:val="Normal"/>
    <w:semiHidden/>
    <w:unhideWhenUsed/>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Pr>
      <w:rFonts w:asciiTheme="majorHAnsi" w:eastAsiaTheme="majorEastAsia" w:hAnsiTheme="majorHAnsi" w:cstheme="majorBidi"/>
    </w:rPr>
  </w:style>
  <w:style w:type="character" w:styleId="FollowedHyperlink">
    <w:name w:val="FollowedHyperlink"/>
    <w:basedOn w:val="DefaultParagraphFont"/>
    <w:semiHidden/>
    <w:unhideWhenUsed/>
    <w:rPr>
      <w:color w:val="800080" w:themeColor="followedHyperlink"/>
      <w:u w:val="single"/>
    </w:rPr>
  </w:style>
  <w:style w:type="character" w:styleId="FootnoteReference">
    <w:name w:val="footnote reference"/>
    <w:basedOn w:val="DefaultParagraphFont"/>
    <w:semiHidden/>
    <w:unhideWhenUsed/>
    <w:rPr>
      <w:vertAlign w:val="superscript"/>
    </w:rPr>
  </w:style>
  <w:style w:type="paragraph" w:styleId="FootnoteText">
    <w:name w:val="footnote text"/>
    <w:basedOn w:val="Normal"/>
    <w:link w:val="FootnoteTextChar"/>
    <w:semiHidden/>
    <w:unhideWhenUsed/>
  </w:style>
  <w:style w:type="character" w:customStyle="1" w:styleId="FootnoteTextChar">
    <w:name w:val="Footnote Text Char"/>
    <w:basedOn w:val="DefaultParagraphFont"/>
    <w:link w:val="FootnoteText"/>
    <w:semiHidden/>
    <w:rPr>
      <w:lang w:eastAsia="en-US"/>
    </w:rPr>
  </w:style>
  <w:style w:type="table" w:styleId="GridTable1Light">
    <w:name w:val="Grid Table 1 Light"/>
    <w:basedOn w:val="TableNormal"/>
    <w:uiPriority w:val="4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TMLAcronym">
    <w:name w:val="HTML Acronym"/>
    <w:basedOn w:val="DefaultParagraphFont"/>
    <w:semiHidden/>
    <w:unhideWhenUsed/>
  </w:style>
  <w:style w:type="paragraph" w:styleId="HTMLAddress">
    <w:name w:val="HTML Address"/>
    <w:basedOn w:val="Normal"/>
    <w:link w:val="HTMLAddressChar"/>
    <w:semiHidden/>
    <w:unhideWhenUsed/>
    <w:rPr>
      <w:i/>
      <w:iCs/>
    </w:rPr>
  </w:style>
  <w:style w:type="character" w:customStyle="1" w:styleId="HTMLAddressChar">
    <w:name w:val="HTML Address Char"/>
    <w:basedOn w:val="DefaultParagraphFont"/>
    <w:link w:val="HTMLAddress"/>
    <w:semiHidden/>
    <w:rPr>
      <w:i/>
      <w:iCs/>
      <w:lang w:eastAsia="en-US"/>
    </w:rPr>
  </w:style>
  <w:style w:type="character" w:styleId="HTMLCite">
    <w:name w:val="HTML Cite"/>
    <w:basedOn w:val="DefaultParagraphFont"/>
    <w:semiHidden/>
    <w:unhideWhenUsed/>
    <w:rPr>
      <w:i/>
      <w:iCs/>
    </w:rPr>
  </w:style>
  <w:style w:type="character" w:styleId="HTMLCode">
    <w:name w:val="HTML Code"/>
    <w:basedOn w:val="DefaultParagraphFont"/>
    <w:semiHidden/>
    <w:unhideWhenUsed/>
    <w:rPr>
      <w:rFonts w:ascii="Consolas" w:hAnsi="Consolas"/>
      <w:sz w:val="20"/>
      <w:szCs w:val="20"/>
    </w:rPr>
  </w:style>
  <w:style w:type="character" w:styleId="HTMLDefinition">
    <w:name w:val="HTML Definition"/>
    <w:basedOn w:val="DefaultParagraphFont"/>
    <w:semiHidden/>
    <w:unhideWhenUsed/>
    <w:rPr>
      <w:i/>
      <w:iCs/>
    </w:rPr>
  </w:style>
  <w:style w:type="character" w:styleId="HTMLKeyboard">
    <w:name w:val="HTML Keyboard"/>
    <w:basedOn w:val="DefaultParagraphFont"/>
    <w:semiHidden/>
    <w:unhideWhenUsed/>
    <w:rPr>
      <w:rFonts w:ascii="Consolas" w:hAnsi="Consolas"/>
      <w:sz w:val="20"/>
      <w:szCs w:val="20"/>
    </w:rPr>
  </w:style>
  <w:style w:type="paragraph" w:styleId="HTMLPreformatted">
    <w:name w:val="HTML Preformatted"/>
    <w:basedOn w:val="Normal"/>
    <w:link w:val="HTMLPreformattedChar"/>
    <w:semiHidden/>
    <w:unhideWhenUsed/>
    <w:rPr>
      <w:rFonts w:ascii="Consolas" w:hAnsi="Consolas"/>
    </w:rPr>
  </w:style>
  <w:style w:type="character" w:customStyle="1" w:styleId="HTMLPreformattedChar">
    <w:name w:val="HTML Preformatted Char"/>
    <w:basedOn w:val="DefaultParagraphFont"/>
    <w:link w:val="HTMLPreformatted"/>
    <w:semiHidden/>
    <w:rPr>
      <w:rFonts w:ascii="Consolas" w:hAnsi="Consolas"/>
      <w:lang w:eastAsia="en-US"/>
    </w:rPr>
  </w:style>
  <w:style w:type="character" w:styleId="HTMLSample">
    <w:name w:val="HTML Sample"/>
    <w:basedOn w:val="DefaultParagraphFont"/>
    <w:semiHidden/>
    <w:unhideWhenUsed/>
    <w:rPr>
      <w:rFonts w:ascii="Consolas" w:hAnsi="Consolas"/>
      <w:sz w:val="24"/>
      <w:szCs w:val="24"/>
    </w:rPr>
  </w:style>
  <w:style w:type="character" w:styleId="HTMLTypewriter">
    <w:name w:val="HTML Typewriter"/>
    <w:basedOn w:val="DefaultParagraphFont"/>
    <w:semiHidden/>
    <w:unhideWhenUsed/>
    <w:rPr>
      <w:rFonts w:ascii="Consolas" w:hAnsi="Consolas"/>
      <w:sz w:val="20"/>
      <w:szCs w:val="20"/>
    </w:rPr>
  </w:style>
  <w:style w:type="character" w:styleId="HTMLVariable">
    <w:name w:val="HTML Variable"/>
    <w:basedOn w:val="DefaultParagraphFont"/>
    <w:semiHidden/>
    <w:unhideWhenUsed/>
    <w:rPr>
      <w:i/>
      <w:iCs/>
    </w:rPr>
  </w:style>
  <w:style w:type="character" w:styleId="Hyperlink">
    <w:name w:val="Hyperlink"/>
    <w:basedOn w:val="DefaultParagraphFont"/>
    <w:semiHidden/>
    <w:unhideWhenUsed/>
    <w:rPr>
      <w:color w:val="0000FF" w:themeColor="hyperlink"/>
      <w:u w:val="single"/>
    </w:rPr>
  </w:style>
  <w:style w:type="paragraph" w:styleId="Index1">
    <w:name w:val="index 1"/>
    <w:basedOn w:val="Normal"/>
    <w:next w:val="Normal"/>
    <w:autoRedefine/>
    <w:semiHidden/>
    <w:unhideWhenUsed/>
    <w:pPr>
      <w:ind w:left="200" w:hanging="200"/>
    </w:pPr>
  </w:style>
  <w:style w:type="paragraph" w:styleId="Index2">
    <w:name w:val="index 2"/>
    <w:basedOn w:val="Normal"/>
    <w:next w:val="Normal"/>
    <w:autoRedefine/>
    <w:semiHidden/>
    <w:unhideWhenUsed/>
    <w:pPr>
      <w:ind w:left="400" w:hanging="200"/>
    </w:pPr>
  </w:style>
  <w:style w:type="paragraph" w:styleId="Index3">
    <w:name w:val="index 3"/>
    <w:basedOn w:val="Normal"/>
    <w:next w:val="Normal"/>
    <w:autoRedefine/>
    <w:semiHidden/>
    <w:unhideWhenUsed/>
    <w:pPr>
      <w:ind w:left="600" w:hanging="200"/>
    </w:pPr>
  </w:style>
  <w:style w:type="paragraph" w:styleId="Index4">
    <w:name w:val="index 4"/>
    <w:basedOn w:val="Normal"/>
    <w:next w:val="Normal"/>
    <w:autoRedefine/>
    <w:semiHidden/>
    <w:unhideWhenUsed/>
    <w:pPr>
      <w:ind w:left="800" w:hanging="200"/>
    </w:pPr>
  </w:style>
  <w:style w:type="paragraph" w:styleId="Index5">
    <w:name w:val="index 5"/>
    <w:basedOn w:val="Normal"/>
    <w:next w:val="Normal"/>
    <w:autoRedefine/>
    <w:semiHidden/>
    <w:unhideWhenUsed/>
    <w:pPr>
      <w:ind w:left="1000" w:hanging="200"/>
    </w:pPr>
  </w:style>
  <w:style w:type="paragraph" w:styleId="Index6">
    <w:name w:val="index 6"/>
    <w:basedOn w:val="Normal"/>
    <w:next w:val="Normal"/>
    <w:autoRedefine/>
    <w:semiHidden/>
    <w:unhideWhenUsed/>
    <w:pPr>
      <w:ind w:left="1200" w:hanging="200"/>
    </w:pPr>
  </w:style>
  <w:style w:type="paragraph" w:styleId="Index7">
    <w:name w:val="index 7"/>
    <w:basedOn w:val="Normal"/>
    <w:next w:val="Normal"/>
    <w:autoRedefine/>
    <w:semiHidden/>
    <w:unhideWhenUsed/>
    <w:pPr>
      <w:ind w:left="1400" w:hanging="200"/>
    </w:pPr>
  </w:style>
  <w:style w:type="paragraph" w:styleId="Index8">
    <w:name w:val="index 8"/>
    <w:basedOn w:val="Normal"/>
    <w:next w:val="Normal"/>
    <w:autoRedefine/>
    <w:semiHidden/>
    <w:unhideWhenUsed/>
    <w:pPr>
      <w:ind w:left="1600" w:hanging="200"/>
    </w:pPr>
  </w:style>
  <w:style w:type="paragraph" w:styleId="Index9">
    <w:name w:val="index 9"/>
    <w:basedOn w:val="Normal"/>
    <w:next w:val="Normal"/>
    <w:autoRedefine/>
    <w:semiHidden/>
    <w:unhideWhenUsed/>
    <w:pPr>
      <w:ind w:left="1800" w:hanging="200"/>
    </w:pPr>
  </w:style>
  <w:style w:type="paragraph" w:styleId="IndexHeading">
    <w:name w:val="index heading"/>
    <w:basedOn w:val="Normal"/>
    <w:next w:val="Index1"/>
    <w:semiHidden/>
    <w:unhideWhenUsed/>
    <w:rPr>
      <w:rFonts w:asciiTheme="majorHAnsi" w:eastAsiaTheme="majorEastAsia" w:hAnsiTheme="majorHAnsi" w:cstheme="majorBidi"/>
      <w:b/>
      <w:bCs/>
    </w:rPr>
  </w:style>
  <w:style w:type="character" w:styleId="IntenseEmphasis">
    <w:name w:val="Intense Emphasis"/>
    <w:basedOn w:val="DefaultParagraphFont"/>
    <w:uiPriority w:val="21"/>
    <w:rPr>
      <w:i/>
      <w:iCs/>
      <w:color w:val="4F81BD" w:themeColor="accent1"/>
    </w:rPr>
  </w:style>
  <w:style w:type="paragraph" w:styleId="IntenseQuote">
    <w:name w:val="Intense Quote"/>
    <w:basedOn w:val="Normal"/>
    <w:next w:val="Normal"/>
    <w:link w:val="IntenseQuoteChar"/>
    <w:uiPriority w:val="30"/>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Pr>
      <w:i/>
      <w:iCs/>
      <w:color w:val="4F81BD" w:themeColor="accent1"/>
      <w:lang w:eastAsia="en-US"/>
    </w:rPr>
  </w:style>
  <w:style w:type="character" w:styleId="IntenseReference">
    <w:name w:val="Intense Reference"/>
    <w:basedOn w:val="DefaultParagraphFont"/>
    <w:uiPriority w:val="32"/>
    <w:rPr>
      <w:b/>
      <w:bCs/>
      <w:smallCaps/>
      <w:color w:val="4F81BD" w:themeColor="accent1"/>
      <w:spacing w:val="5"/>
    </w:rPr>
  </w:style>
  <w:style w:type="table" w:styleId="LightGrid">
    <w:name w:val="Light Grid"/>
    <w:basedOn w:val="TableNormal"/>
    <w:uiPriority w:val="62"/>
    <w:semiHidden/>
    <w:unhideWhenUse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semiHidden/>
    <w:unhideWhenUsed/>
  </w:style>
  <w:style w:type="paragraph" w:styleId="List">
    <w:name w:val="List"/>
    <w:basedOn w:val="Normal"/>
    <w:semiHidden/>
    <w:unhideWhenUsed/>
    <w:pPr>
      <w:ind w:left="283" w:hanging="283"/>
      <w:contextualSpacing/>
    </w:pPr>
  </w:style>
  <w:style w:type="paragraph" w:styleId="List2">
    <w:name w:val="List 2"/>
    <w:basedOn w:val="Normal"/>
    <w:semiHidden/>
    <w:unhideWhenUsed/>
    <w:pPr>
      <w:ind w:left="566" w:hanging="283"/>
      <w:contextualSpacing/>
    </w:pPr>
  </w:style>
  <w:style w:type="paragraph" w:styleId="List3">
    <w:name w:val="List 3"/>
    <w:basedOn w:val="Normal"/>
    <w:semiHidden/>
    <w:unhideWhenUsed/>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ListBullet">
    <w:name w:val="List Bullet"/>
    <w:basedOn w:val="Normal"/>
    <w:semiHidden/>
    <w:unhideWhenUsed/>
    <w:pPr>
      <w:numPr>
        <w:numId w:val="56"/>
      </w:numPr>
      <w:contextualSpacing/>
    </w:pPr>
  </w:style>
  <w:style w:type="paragraph" w:styleId="ListBullet2">
    <w:name w:val="List Bullet 2"/>
    <w:basedOn w:val="Normal"/>
    <w:semiHidden/>
    <w:unhideWhenUsed/>
    <w:pPr>
      <w:numPr>
        <w:numId w:val="10"/>
      </w:numPr>
      <w:contextualSpacing/>
    </w:pPr>
  </w:style>
  <w:style w:type="paragraph" w:styleId="ListBullet3">
    <w:name w:val="List Bullet 3"/>
    <w:basedOn w:val="Normal"/>
    <w:semiHidden/>
    <w:unhideWhenUsed/>
    <w:pPr>
      <w:numPr>
        <w:numId w:val="57"/>
      </w:numPr>
      <w:contextualSpacing/>
    </w:pPr>
  </w:style>
  <w:style w:type="paragraph" w:styleId="ListBullet4">
    <w:name w:val="List Bullet 4"/>
    <w:basedOn w:val="Normal"/>
    <w:semiHidden/>
    <w:unhideWhenUsed/>
    <w:pPr>
      <w:numPr>
        <w:numId w:val="58"/>
      </w:numPr>
      <w:contextualSpacing/>
    </w:pPr>
  </w:style>
  <w:style w:type="paragraph" w:styleId="ListBullet5">
    <w:name w:val="List Bullet 5"/>
    <w:basedOn w:val="Normal"/>
    <w:semiHidden/>
    <w:unhideWhenUsed/>
    <w:pPr>
      <w:numPr>
        <w:numId w:val="59"/>
      </w:numPr>
      <w:contextualSpacing/>
    </w:pPr>
  </w:style>
  <w:style w:type="paragraph" w:styleId="ListContinue">
    <w:name w:val="List Continue"/>
    <w:basedOn w:val="Normal"/>
    <w:semiHidden/>
    <w:unhideWhenUsed/>
    <w:pPr>
      <w:spacing w:after="120"/>
      <w:ind w:left="283"/>
      <w:contextualSpacing/>
    </w:pPr>
  </w:style>
  <w:style w:type="paragraph" w:styleId="ListContinue2">
    <w:name w:val="List Continue 2"/>
    <w:basedOn w:val="Normal"/>
    <w:semiHidden/>
    <w:unhideWhenUsed/>
    <w:pPr>
      <w:spacing w:after="120"/>
      <w:ind w:left="566"/>
      <w:contextualSpacing/>
    </w:pPr>
  </w:style>
  <w:style w:type="paragraph" w:styleId="ListContinue3">
    <w:name w:val="List Continue 3"/>
    <w:basedOn w:val="Normal"/>
    <w:semiHidden/>
    <w:unhideWhenUsed/>
    <w:pPr>
      <w:spacing w:after="120"/>
      <w:ind w:left="849"/>
      <w:contextualSpacing/>
    </w:pPr>
  </w:style>
  <w:style w:type="paragraph" w:styleId="ListContinue4">
    <w:name w:val="List Continue 4"/>
    <w:basedOn w:val="Normal"/>
    <w:semiHidden/>
    <w:unhideWhenUsed/>
    <w:pPr>
      <w:spacing w:after="120"/>
      <w:ind w:left="1132"/>
      <w:contextualSpacing/>
    </w:pPr>
  </w:style>
  <w:style w:type="paragraph" w:styleId="ListContinue5">
    <w:name w:val="List Continue 5"/>
    <w:basedOn w:val="Normal"/>
    <w:semiHidden/>
    <w:unhideWhenUsed/>
    <w:pPr>
      <w:spacing w:after="120"/>
      <w:ind w:left="1415"/>
      <w:contextualSpacing/>
    </w:pPr>
  </w:style>
  <w:style w:type="paragraph" w:styleId="ListNumber">
    <w:name w:val="List Number"/>
    <w:basedOn w:val="Normal"/>
    <w:pPr>
      <w:numPr>
        <w:numId w:val="60"/>
      </w:numPr>
      <w:contextualSpacing/>
    </w:pPr>
  </w:style>
  <w:style w:type="paragraph" w:styleId="ListNumber2">
    <w:name w:val="List Number 2"/>
    <w:basedOn w:val="Normal"/>
    <w:semiHidden/>
    <w:unhideWhenUsed/>
    <w:pPr>
      <w:numPr>
        <w:numId w:val="61"/>
      </w:numPr>
      <w:contextualSpacing/>
    </w:pPr>
  </w:style>
  <w:style w:type="paragraph" w:styleId="ListNumber3">
    <w:name w:val="List Number 3"/>
    <w:basedOn w:val="Normal"/>
    <w:semiHidden/>
    <w:unhideWhenUsed/>
    <w:pPr>
      <w:numPr>
        <w:numId w:val="62"/>
      </w:numPr>
      <w:contextualSpacing/>
    </w:pPr>
  </w:style>
  <w:style w:type="paragraph" w:styleId="ListNumber4">
    <w:name w:val="List Number 4"/>
    <w:basedOn w:val="Normal"/>
    <w:semiHidden/>
    <w:unhideWhenUsed/>
    <w:pPr>
      <w:numPr>
        <w:numId w:val="63"/>
      </w:numPr>
      <w:contextualSpacing/>
    </w:pPr>
  </w:style>
  <w:style w:type="paragraph" w:styleId="ListNumber5">
    <w:name w:val="List Number 5"/>
    <w:basedOn w:val="Normal"/>
    <w:semiHidden/>
    <w:unhideWhenUsed/>
    <w:pPr>
      <w:numPr>
        <w:numId w:val="64"/>
      </w:numPr>
      <w:contextualSpacing/>
    </w:pPr>
  </w:style>
  <w:style w:type="table" w:styleId="ListTable1Light">
    <w:name w:val="List Table 1 Light"/>
    <w:basedOn w:val="TableNormal"/>
    <w:uiPriority w:val="46"/>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semiHidden/>
    <w:unhideWhenUsed/>
    <w:pPr>
      <w:tabs>
        <w:tab w:val="left" w:pos="480"/>
        <w:tab w:val="left" w:pos="960"/>
        <w:tab w:val="left" w:pos="1440"/>
        <w:tab w:val="left" w:pos="1920"/>
        <w:tab w:val="left" w:pos="2400"/>
        <w:tab w:val="left" w:pos="2880"/>
        <w:tab w:val="left" w:pos="3360"/>
        <w:tab w:val="left" w:pos="3840"/>
        <w:tab w:val="left" w:pos="4320"/>
      </w:tabs>
    </w:pPr>
    <w:rPr>
      <w:rFonts w:ascii="Consolas" w:hAnsi="Consolas"/>
      <w:lang w:eastAsia="en-US"/>
    </w:rPr>
  </w:style>
  <w:style w:type="character" w:customStyle="1" w:styleId="MacroTextChar">
    <w:name w:val="Macro Text Char"/>
    <w:basedOn w:val="DefaultParagraphFont"/>
    <w:link w:val="MacroText"/>
    <w:semiHidden/>
    <w:rPr>
      <w:rFonts w:ascii="Consolas" w:hAnsi="Consolas"/>
      <w:lang w:eastAsia="en-US"/>
    </w:rPr>
  </w:style>
  <w:style w:type="table" w:styleId="MediumGrid1">
    <w:name w:val="Medium Grid 1"/>
    <w:basedOn w:val="TableNormal"/>
    <w:uiPriority w:val="67"/>
    <w:semiHidden/>
    <w:unhideWhenUse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semiHidden/>
    <w:unhideWhenUse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Pr>
      <w:rFonts w:asciiTheme="majorHAnsi" w:eastAsiaTheme="majorEastAsia" w:hAnsiTheme="majorHAnsi" w:cstheme="majorBidi"/>
      <w:sz w:val="24"/>
      <w:szCs w:val="24"/>
      <w:shd w:val="pct20" w:color="auto" w:fill="auto"/>
      <w:lang w:eastAsia="en-US"/>
    </w:rPr>
  </w:style>
  <w:style w:type="paragraph" w:styleId="NoSpacing">
    <w:name w:val="No Spacing"/>
    <w:uiPriority w:val="1"/>
    <w:rPr>
      <w:lang w:eastAsia="en-US"/>
    </w:rPr>
  </w:style>
  <w:style w:type="paragraph" w:styleId="NormalWeb">
    <w:name w:val="Normal (Web)"/>
    <w:basedOn w:val="Normal"/>
    <w:semiHidden/>
    <w:unhideWhenUsed/>
    <w:rPr>
      <w:sz w:val="24"/>
      <w:szCs w:val="24"/>
    </w:rPr>
  </w:style>
  <w:style w:type="paragraph" w:styleId="NormalIndent">
    <w:name w:val="Normal Indent"/>
    <w:basedOn w:val="Normal"/>
    <w:semiHidden/>
    <w:unhideWhenUsed/>
    <w:pPr>
      <w:ind w:left="680"/>
    </w:pPr>
  </w:style>
  <w:style w:type="paragraph" w:styleId="NoteHeading">
    <w:name w:val="Note Heading"/>
    <w:basedOn w:val="Normal"/>
    <w:next w:val="Normal"/>
    <w:link w:val="NoteHeadingChar"/>
    <w:semiHidden/>
    <w:unhideWhenUsed/>
  </w:style>
  <w:style w:type="character" w:customStyle="1" w:styleId="NoteHeadingChar">
    <w:name w:val="Note Heading Char"/>
    <w:basedOn w:val="DefaultParagraphFont"/>
    <w:link w:val="NoteHeading"/>
    <w:semiHidden/>
    <w:rPr>
      <w:lang w:eastAsia="en-US"/>
    </w:rPr>
  </w:style>
  <w:style w:type="character" w:styleId="PlaceholderText">
    <w:name w:val="Placeholder Text"/>
    <w:basedOn w:val="DefaultParagraphFont"/>
    <w:uiPriority w:val="99"/>
    <w:semiHidden/>
    <w:rPr>
      <w:color w:val="808080"/>
    </w:rPr>
  </w:style>
  <w:style w:type="table" w:styleId="PlainTable1">
    <w:name w:val="Plain Table 1"/>
    <w:basedOn w:val="TableNormal"/>
    <w:uiPriority w:val="4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unhideWhenUsed/>
    <w:rPr>
      <w:rFonts w:ascii="Consolas" w:hAnsi="Consolas"/>
      <w:sz w:val="21"/>
      <w:szCs w:val="21"/>
    </w:rPr>
  </w:style>
  <w:style w:type="character" w:customStyle="1" w:styleId="PlainTextChar">
    <w:name w:val="Plain Text Char"/>
    <w:basedOn w:val="DefaultParagraphFont"/>
    <w:link w:val="PlainText"/>
    <w:semiHidden/>
    <w:rPr>
      <w:rFonts w:ascii="Consolas" w:hAnsi="Consolas"/>
      <w:sz w:val="21"/>
      <w:szCs w:val="21"/>
      <w:lang w:eastAsia="en-US"/>
    </w:rPr>
  </w:style>
  <w:style w:type="paragraph" w:styleId="Quote">
    <w:name w:val="Quote"/>
    <w:basedOn w:val="Normal"/>
    <w:next w:val="Normal"/>
    <w:link w:val="QuoteChar"/>
    <w:uiPriority w:val="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lang w:eastAsia="en-US"/>
    </w:rPr>
  </w:style>
  <w:style w:type="paragraph" w:styleId="Salutation">
    <w:name w:val="Salutation"/>
    <w:basedOn w:val="Normal"/>
    <w:next w:val="Normal"/>
    <w:link w:val="SalutationChar"/>
  </w:style>
  <w:style w:type="character" w:customStyle="1" w:styleId="SalutationChar">
    <w:name w:val="Salutation Char"/>
    <w:basedOn w:val="DefaultParagraphFont"/>
    <w:link w:val="Salutation"/>
    <w:rPr>
      <w:lang w:eastAsia="en-US"/>
    </w:rPr>
  </w:style>
  <w:style w:type="paragraph" w:styleId="Signature">
    <w:name w:val="Signature"/>
    <w:basedOn w:val="Normal"/>
    <w:link w:val="SignatureChar"/>
    <w:semiHidden/>
    <w:unhideWhenUsed/>
    <w:pPr>
      <w:ind w:left="4252"/>
    </w:pPr>
  </w:style>
  <w:style w:type="character" w:customStyle="1" w:styleId="SignatureChar">
    <w:name w:val="Signature Char"/>
    <w:basedOn w:val="DefaultParagraphFont"/>
    <w:link w:val="Signature"/>
    <w:semiHidden/>
    <w:rPr>
      <w:lang w:eastAsia="en-US"/>
    </w:rPr>
  </w:style>
  <w:style w:type="paragraph" w:styleId="Subtitle">
    <w:name w:val="Subtitle"/>
    <w:basedOn w:val="Normal"/>
    <w:next w:val="Normal"/>
    <w:link w:val="SubtitleChar"/>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Pr>
      <w:rFonts w:asciiTheme="minorHAnsi" w:eastAsiaTheme="minorEastAsia" w:hAnsiTheme="minorHAnsi" w:cstheme="minorBidi"/>
      <w:color w:val="5A5A5A" w:themeColor="text1" w:themeTint="A5"/>
      <w:spacing w:val="15"/>
      <w:sz w:val="22"/>
      <w:szCs w:val="22"/>
      <w:lang w:eastAsia="en-US"/>
    </w:rPr>
  </w:style>
  <w:style w:type="character" w:styleId="SubtleEmphasis">
    <w:name w:val="Subtle Emphasis"/>
    <w:basedOn w:val="DefaultParagraphFont"/>
    <w:uiPriority w:val="19"/>
    <w:rPr>
      <w:i/>
      <w:iCs/>
      <w:color w:val="404040" w:themeColor="text1" w:themeTint="BF"/>
    </w:rPr>
  </w:style>
  <w:style w:type="character" w:styleId="SubtleReference">
    <w:name w:val="Subtle Reference"/>
    <w:basedOn w:val="DefaultParagraphFont"/>
    <w:uiPriority w:val="31"/>
    <w:rPr>
      <w:smallCaps/>
      <w:color w:val="5A5A5A" w:themeColor="text1" w:themeTint="A5"/>
    </w:rPr>
  </w:style>
  <w:style w:type="table" w:styleId="Table3Deffects1">
    <w:name w:val="Table 3D effects 1"/>
    <w:basedOn w:val="TableNormal"/>
    <w:semiHidden/>
    <w:unhideWhenUse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unhideWhenUse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pPr>
      <w:ind w:left="200" w:hanging="200"/>
    </w:pPr>
  </w:style>
  <w:style w:type="paragraph" w:styleId="TableofFigures">
    <w:name w:val="table of figures"/>
    <w:basedOn w:val="Normal"/>
    <w:next w:val="Normal"/>
    <w:semiHidden/>
    <w:unhideWhenUsed/>
  </w:style>
  <w:style w:type="table" w:styleId="TableProfessional">
    <w:name w:val="Table Professional"/>
    <w:basedOn w:val="TableNormal"/>
    <w:semiHidden/>
    <w:unhideWhenUse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unhideWhenUsed/>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pPr>
      <w:spacing w:after="100"/>
    </w:pPr>
  </w:style>
  <w:style w:type="paragraph" w:styleId="TOC2">
    <w:name w:val="toc 2"/>
    <w:basedOn w:val="Normal"/>
    <w:next w:val="Normal"/>
    <w:autoRedefine/>
    <w:semiHidden/>
    <w:unhideWhenUsed/>
    <w:pPr>
      <w:spacing w:after="100"/>
      <w:ind w:left="200"/>
    </w:pPr>
  </w:style>
  <w:style w:type="paragraph" w:styleId="TOC3">
    <w:name w:val="toc 3"/>
    <w:basedOn w:val="Normal"/>
    <w:next w:val="Normal"/>
    <w:autoRedefine/>
    <w:semiHidden/>
    <w:unhideWhenUsed/>
    <w:pPr>
      <w:spacing w:after="100"/>
      <w:ind w:left="400"/>
    </w:pPr>
  </w:style>
  <w:style w:type="paragraph" w:styleId="TOC4">
    <w:name w:val="toc 4"/>
    <w:basedOn w:val="Normal"/>
    <w:next w:val="Normal"/>
    <w:autoRedefine/>
    <w:semiHidden/>
    <w:unhideWhenUsed/>
    <w:pPr>
      <w:spacing w:after="100"/>
      <w:ind w:left="600"/>
    </w:pPr>
  </w:style>
  <w:style w:type="paragraph" w:styleId="TOC5">
    <w:name w:val="toc 5"/>
    <w:basedOn w:val="Normal"/>
    <w:next w:val="Normal"/>
    <w:autoRedefine/>
    <w:semiHidden/>
    <w:unhideWhenUsed/>
    <w:pPr>
      <w:spacing w:after="100"/>
      <w:ind w:left="800"/>
    </w:pPr>
  </w:style>
  <w:style w:type="paragraph" w:styleId="TOC6">
    <w:name w:val="toc 6"/>
    <w:basedOn w:val="Normal"/>
    <w:next w:val="Normal"/>
    <w:autoRedefine/>
    <w:semiHidden/>
    <w:unhideWhenUsed/>
    <w:pPr>
      <w:spacing w:after="100"/>
      <w:ind w:left="1000"/>
    </w:pPr>
  </w:style>
  <w:style w:type="paragraph" w:styleId="TOC7">
    <w:name w:val="toc 7"/>
    <w:basedOn w:val="Normal"/>
    <w:next w:val="Normal"/>
    <w:autoRedefine/>
    <w:semiHidden/>
    <w:unhideWhenUsed/>
    <w:pPr>
      <w:spacing w:after="100"/>
      <w:ind w:left="1200"/>
    </w:pPr>
  </w:style>
  <w:style w:type="paragraph" w:styleId="TOC8">
    <w:name w:val="toc 8"/>
    <w:basedOn w:val="Normal"/>
    <w:next w:val="Normal"/>
    <w:autoRedefine/>
    <w:semiHidden/>
    <w:unhideWhenUsed/>
    <w:pPr>
      <w:spacing w:after="100"/>
      <w:ind w:left="1400"/>
    </w:pPr>
  </w:style>
  <w:style w:type="paragraph" w:styleId="TOC9">
    <w:name w:val="toc 9"/>
    <w:basedOn w:val="Normal"/>
    <w:next w:val="Normal"/>
    <w:autoRedefine/>
    <w:semiHidden/>
    <w:unhideWhenUsed/>
    <w:pPr>
      <w:spacing w:after="100"/>
      <w:ind w:left="1600"/>
    </w:pPr>
  </w:style>
  <w:style w:type="paragraph" w:styleId="TOCHeading">
    <w:name w:val="TOC Heading"/>
    <w:basedOn w:val="Heading1"/>
    <w:next w:val="Normal"/>
    <w:uiPriority w:val="39"/>
    <w:semiHidden/>
    <w:unhideWhenUsed/>
    <w:pPr>
      <w:keepLines/>
      <w:spacing w:after="0"/>
      <w:outlineLvl w:val="9"/>
    </w:pPr>
    <w:rPr>
      <w:rFonts w:asciiTheme="majorHAnsi" w:eastAsiaTheme="majorEastAsia" w:hAnsiTheme="majorHAnsi" w:cstheme="majorBidi"/>
      <w:b w:val="0"/>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0684">
      <w:bodyDiv w:val="1"/>
      <w:marLeft w:val="0"/>
      <w:marRight w:val="0"/>
      <w:marTop w:val="0"/>
      <w:marBottom w:val="0"/>
      <w:divBdr>
        <w:top w:val="none" w:sz="0" w:space="0" w:color="auto"/>
        <w:left w:val="none" w:sz="0" w:space="0" w:color="auto"/>
        <w:bottom w:val="none" w:sz="0" w:space="0" w:color="auto"/>
        <w:right w:val="none" w:sz="0" w:space="0" w:color="auto"/>
      </w:divBdr>
    </w:div>
    <w:div w:id="52001349">
      <w:bodyDiv w:val="1"/>
      <w:marLeft w:val="0"/>
      <w:marRight w:val="0"/>
      <w:marTop w:val="0"/>
      <w:marBottom w:val="0"/>
      <w:divBdr>
        <w:top w:val="none" w:sz="0" w:space="0" w:color="auto"/>
        <w:left w:val="none" w:sz="0" w:space="0" w:color="auto"/>
        <w:bottom w:val="none" w:sz="0" w:space="0" w:color="auto"/>
        <w:right w:val="none" w:sz="0" w:space="0" w:color="auto"/>
      </w:divBdr>
    </w:div>
    <w:div w:id="223177252">
      <w:bodyDiv w:val="1"/>
      <w:marLeft w:val="0"/>
      <w:marRight w:val="0"/>
      <w:marTop w:val="0"/>
      <w:marBottom w:val="0"/>
      <w:divBdr>
        <w:top w:val="none" w:sz="0" w:space="0" w:color="auto"/>
        <w:left w:val="none" w:sz="0" w:space="0" w:color="auto"/>
        <w:bottom w:val="none" w:sz="0" w:space="0" w:color="auto"/>
        <w:right w:val="none" w:sz="0" w:space="0" w:color="auto"/>
      </w:divBdr>
    </w:div>
    <w:div w:id="319358728">
      <w:bodyDiv w:val="1"/>
      <w:marLeft w:val="0"/>
      <w:marRight w:val="0"/>
      <w:marTop w:val="0"/>
      <w:marBottom w:val="0"/>
      <w:divBdr>
        <w:top w:val="none" w:sz="0" w:space="0" w:color="auto"/>
        <w:left w:val="none" w:sz="0" w:space="0" w:color="auto"/>
        <w:bottom w:val="none" w:sz="0" w:space="0" w:color="auto"/>
        <w:right w:val="none" w:sz="0" w:space="0" w:color="auto"/>
      </w:divBdr>
      <w:divsChild>
        <w:div w:id="533233436">
          <w:marLeft w:val="0"/>
          <w:marRight w:val="0"/>
          <w:marTop w:val="0"/>
          <w:marBottom w:val="0"/>
          <w:divBdr>
            <w:top w:val="none" w:sz="0" w:space="0" w:color="auto"/>
            <w:left w:val="none" w:sz="0" w:space="0" w:color="auto"/>
            <w:bottom w:val="none" w:sz="0" w:space="0" w:color="auto"/>
            <w:right w:val="none" w:sz="0" w:space="0" w:color="auto"/>
          </w:divBdr>
          <w:divsChild>
            <w:div w:id="26416380">
              <w:marLeft w:val="0"/>
              <w:marRight w:val="0"/>
              <w:marTop w:val="0"/>
              <w:marBottom w:val="0"/>
              <w:divBdr>
                <w:top w:val="none" w:sz="0" w:space="0" w:color="auto"/>
                <w:left w:val="none" w:sz="0" w:space="0" w:color="auto"/>
                <w:bottom w:val="none" w:sz="0" w:space="0" w:color="auto"/>
                <w:right w:val="none" w:sz="0" w:space="0" w:color="auto"/>
              </w:divBdr>
              <w:divsChild>
                <w:div w:id="2079552357">
                  <w:marLeft w:val="0"/>
                  <w:marRight w:val="0"/>
                  <w:marTop w:val="0"/>
                  <w:marBottom w:val="0"/>
                  <w:divBdr>
                    <w:top w:val="none" w:sz="0" w:space="0" w:color="auto"/>
                    <w:left w:val="none" w:sz="0" w:space="0" w:color="auto"/>
                    <w:bottom w:val="none" w:sz="0" w:space="0" w:color="auto"/>
                    <w:right w:val="none" w:sz="0" w:space="0" w:color="auto"/>
                  </w:divBdr>
                  <w:divsChild>
                    <w:div w:id="156024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246199">
          <w:marLeft w:val="0"/>
          <w:marRight w:val="0"/>
          <w:marTop w:val="0"/>
          <w:marBottom w:val="0"/>
          <w:divBdr>
            <w:top w:val="none" w:sz="0" w:space="0" w:color="auto"/>
            <w:left w:val="none" w:sz="0" w:space="0" w:color="auto"/>
            <w:bottom w:val="none" w:sz="0" w:space="0" w:color="auto"/>
            <w:right w:val="none" w:sz="0" w:space="0" w:color="auto"/>
          </w:divBdr>
          <w:divsChild>
            <w:div w:id="660082151">
              <w:marLeft w:val="0"/>
              <w:marRight w:val="0"/>
              <w:marTop w:val="0"/>
              <w:marBottom w:val="0"/>
              <w:divBdr>
                <w:top w:val="none" w:sz="0" w:space="0" w:color="auto"/>
                <w:left w:val="none" w:sz="0" w:space="0" w:color="auto"/>
                <w:bottom w:val="none" w:sz="0" w:space="0" w:color="auto"/>
                <w:right w:val="none" w:sz="0" w:space="0" w:color="auto"/>
              </w:divBdr>
              <w:divsChild>
                <w:div w:id="789517391">
                  <w:marLeft w:val="0"/>
                  <w:marRight w:val="0"/>
                  <w:marTop w:val="0"/>
                  <w:marBottom w:val="0"/>
                  <w:divBdr>
                    <w:top w:val="none" w:sz="0" w:space="0" w:color="auto"/>
                    <w:left w:val="none" w:sz="0" w:space="0" w:color="auto"/>
                    <w:bottom w:val="none" w:sz="0" w:space="0" w:color="auto"/>
                    <w:right w:val="none" w:sz="0" w:space="0" w:color="auto"/>
                  </w:divBdr>
                  <w:divsChild>
                    <w:div w:id="1852448434">
                      <w:marLeft w:val="0"/>
                      <w:marRight w:val="0"/>
                      <w:marTop w:val="0"/>
                      <w:marBottom w:val="0"/>
                      <w:divBdr>
                        <w:top w:val="none" w:sz="0" w:space="0" w:color="auto"/>
                        <w:left w:val="none" w:sz="0" w:space="0" w:color="auto"/>
                        <w:bottom w:val="none" w:sz="0" w:space="0" w:color="auto"/>
                        <w:right w:val="none" w:sz="0" w:space="0" w:color="auto"/>
                      </w:divBdr>
                      <w:divsChild>
                        <w:div w:id="149410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9493848">
      <w:bodyDiv w:val="1"/>
      <w:marLeft w:val="0"/>
      <w:marRight w:val="0"/>
      <w:marTop w:val="0"/>
      <w:marBottom w:val="0"/>
      <w:divBdr>
        <w:top w:val="none" w:sz="0" w:space="0" w:color="auto"/>
        <w:left w:val="none" w:sz="0" w:space="0" w:color="auto"/>
        <w:bottom w:val="none" w:sz="0" w:space="0" w:color="auto"/>
        <w:right w:val="none" w:sz="0" w:space="0" w:color="auto"/>
      </w:divBdr>
    </w:div>
    <w:div w:id="1466198619">
      <w:bodyDiv w:val="1"/>
      <w:marLeft w:val="0"/>
      <w:marRight w:val="0"/>
      <w:marTop w:val="0"/>
      <w:marBottom w:val="0"/>
      <w:divBdr>
        <w:top w:val="none" w:sz="0" w:space="0" w:color="auto"/>
        <w:left w:val="none" w:sz="0" w:space="0" w:color="auto"/>
        <w:bottom w:val="none" w:sz="0" w:space="0" w:color="auto"/>
        <w:right w:val="none" w:sz="0" w:space="0" w:color="auto"/>
      </w:divBdr>
    </w:div>
    <w:div w:id="1473593263">
      <w:bodyDiv w:val="1"/>
      <w:marLeft w:val="0"/>
      <w:marRight w:val="0"/>
      <w:marTop w:val="0"/>
      <w:marBottom w:val="0"/>
      <w:divBdr>
        <w:top w:val="none" w:sz="0" w:space="0" w:color="auto"/>
        <w:left w:val="none" w:sz="0" w:space="0" w:color="auto"/>
        <w:bottom w:val="none" w:sz="0" w:space="0" w:color="auto"/>
        <w:right w:val="none" w:sz="0" w:space="0" w:color="auto"/>
      </w:divBdr>
      <w:divsChild>
        <w:div w:id="878005619">
          <w:marLeft w:val="0"/>
          <w:marRight w:val="0"/>
          <w:marTop w:val="0"/>
          <w:marBottom w:val="0"/>
          <w:divBdr>
            <w:top w:val="none" w:sz="0" w:space="0" w:color="auto"/>
            <w:left w:val="none" w:sz="0" w:space="0" w:color="auto"/>
            <w:bottom w:val="none" w:sz="0" w:space="0" w:color="auto"/>
            <w:right w:val="none" w:sz="0" w:space="0" w:color="auto"/>
          </w:divBdr>
        </w:div>
      </w:divsChild>
    </w:div>
    <w:div w:id="1490052728">
      <w:bodyDiv w:val="1"/>
      <w:marLeft w:val="0"/>
      <w:marRight w:val="0"/>
      <w:marTop w:val="0"/>
      <w:marBottom w:val="0"/>
      <w:divBdr>
        <w:top w:val="none" w:sz="0" w:space="0" w:color="auto"/>
        <w:left w:val="none" w:sz="0" w:space="0" w:color="auto"/>
        <w:bottom w:val="none" w:sz="0" w:space="0" w:color="auto"/>
        <w:right w:val="none" w:sz="0" w:space="0" w:color="auto"/>
      </w:divBdr>
    </w:div>
    <w:div w:id="1561478572">
      <w:bodyDiv w:val="1"/>
      <w:marLeft w:val="0"/>
      <w:marRight w:val="0"/>
      <w:marTop w:val="0"/>
      <w:marBottom w:val="0"/>
      <w:divBdr>
        <w:top w:val="none" w:sz="0" w:space="0" w:color="auto"/>
        <w:left w:val="none" w:sz="0" w:space="0" w:color="auto"/>
        <w:bottom w:val="none" w:sz="0" w:space="0" w:color="auto"/>
        <w:right w:val="none" w:sz="0" w:space="0" w:color="auto"/>
      </w:divBdr>
    </w:div>
    <w:div w:id="1946306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vanzuyl\Local%20Settings\Temporary%20Internet%20Files\OLKAC\Policy%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410F03DC65D6409668EFC075CB0B98" ma:contentTypeVersion="20" ma:contentTypeDescription="Create a new document." ma:contentTypeScope="" ma:versionID="9333b0b237110d9189806177dcc91281">
  <xsd:schema xmlns:xsd="http://www.w3.org/2001/XMLSchema" xmlns:xs="http://www.w3.org/2001/XMLSchema" xmlns:p="http://schemas.microsoft.com/office/2006/metadata/properties" xmlns:ns2="35383fde-add0-49bc-9d69-730074fc37a7" xmlns:ns3="26a9a42b-846c-4864-8c12-f9b618102f62" targetNamespace="http://schemas.microsoft.com/office/2006/metadata/properties" ma:root="true" ma:fieldsID="c936bc734f8744a2b83585faf04bb8f3" ns2:_="" ns3:_="">
    <xsd:import namespace="35383fde-add0-49bc-9d69-730074fc37a7"/>
    <xsd:import namespace="26a9a42b-846c-4864-8c12-f9b618102f6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83fde-add0-49bc-9d69-730074fc37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8e1831b-d635-427b-87f4-b79c5ff64e3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a9a42b-846c-4864-8c12-f9b618102f6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5417935-2018-4a42-b1b8-f33e2efd0ae9}" ma:internalName="TaxCatchAll" ma:showField="CatchAllData" ma:web="26a9a42b-846c-4864-8c12-f9b618102f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1 6 " ? > < p r o p e r t i e s   x m l n s = " h t t p : / / w w w . i m a n a g e . c o m / w o r k / x m l s c h e m a " >  
     < d o c u m e n t i d > P r o d u c t i o n ! 2 4 6 0 1 1 . 2 < / d o c u m e n t i d >  
     < s e n d e r i d > K A T I E . S W E A T M A N @ K I N G S T O N R E I D . C O M < / s e n d e r i d >  
     < s e n d e r e m a i l > K A T I E . S W E A T M A N @ K I N G S T O N R E I D . C O M < / s e n d e r e m a i l >  
     < l a s t m o d i f i e d > 2 0 2 1 - 0 9 - 2 1 T 1 9 : 3 3 : 0 0 . 0 0 0 0 0 0 0 + 1 0 : 0 0 < / l a s t m o d i f i e d >  
     < d a t a b a s e > P r o d u c t i o n < / d a t a b a s e >  
 < / p r o p e r t i 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5383fde-add0-49bc-9d69-730074fc37a7">
      <Terms xmlns="http://schemas.microsoft.com/office/infopath/2007/PartnerControls"/>
    </lcf76f155ced4ddcb4097134ff3c332f>
    <TaxCatchAll xmlns="26a9a42b-846c-4864-8c12-f9b618102f6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4D8555-740D-4334-9EB7-8E690EEB9D37}"/>
</file>

<file path=customXml/itemProps2.xml><?xml version="1.0" encoding="utf-8"?>
<ds:datastoreItem xmlns:ds="http://schemas.openxmlformats.org/officeDocument/2006/customXml" ds:itemID="{FF7E3BAC-CE38-40EE-A695-D5AEA02222F4}">
  <ds:schemaRefs>
    <ds:schemaRef ds:uri="http://www.imanage.com/work/xmlschema"/>
  </ds:schemaRefs>
</ds:datastoreItem>
</file>

<file path=customXml/itemProps3.xml><?xml version="1.0" encoding="utf-8"?>
<ds:datastoreItem xmlns:ds="http://schemas.openxmlformats.org/officeDocument/2006/customXml" ds:itemID="{7D91A38F-33C0-465C-89A1-28A9BFC7F12C}">
  <ds:schemaRefs>
    <ds:schemaRef ds:uri="http://schemas.microsoft.com/office/2006/metadata/properties"/>
    <ds:schemaRef ds:uri="http://schemas.microsoft.com/office/infopath/2007/PartnerControls"/>
    <ds:schemaRef ds:uri="33373872-1189-4fec-85eb-492a9a3d1ebd"/>
    <ds:schemaRef ds:uri="a6af6834-6de4-4be9-ab5f-a2872e245563"/>
  </ds:schemaRefs>
</ds:datastoreItem>
</file>

<file path=customXml/itemProps4.xml><?xml version="1.0" encoding="utf-8"?>
<ds:datastoreItem xmlns:ds="http://schemas.openxmlformats.org/officeDocument/2006/customXml" ds:itemID="{06CF948B-CE29-456B-A2C6-5719B3C1F9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Policy Template</Template>
  <TotalTime>0</TotalTime>
  <Pages>9</Pages>
  <Words>3575</Words>
  <Characters>20926</Characters>
  <Application>Microsoft Office Word</Application>
  <DocSecurity>0</DocSecurity>
  <Lines>174</Lines>
  <Paragraphs>48</Paragraphs>
  <ScaleCrop>false</ScaleCrop>
  <Company>Victorian Cytology Service</Company>
  <LinksUpToDate>false</LinksUpToDate>
  <CharactersWithSpaces>24453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Ricki Vinci</dc:creator>
  <cp:keywords/>
  <cp:lastModifiedBy>Ricki Vinci</cp:lastModifiedBy>
  <cp:revision>2</cp:revision>
  <cp:lastPrinted>2005-09-06T00:37:00Z</cp:lastPrinted>
  <dcterms:created xsi:type="dcterms:W3CDTF">2025-03-14T03:12:00Z</dcterms:created>
  <dcterms:modified xsi:type="dcterms:W3CDTF">2025-03-14T03:12:00Z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IMANDOCNO">
    <vt:lpwstr>AU_Active01 911024588v1 SCOTTN</vt:lpwstr>
  </property>
  <property fmtid="{D5CDD505-2E9C-101B-9397-08002B2CF9AE}" pid="4" name="ContentTypeId">
    <vt:lpwstr>0x010100E6410F03DC65D6409668EFC075CB0B98</vt:lpwstr>
  </property>
  <property fmtid="{D5CDD505-2E9C-101B-9397-08002B2CF9AE}" pid="5" name="MediaServiceImageTags">
    <vt:lpwstr/>
  </property>
  <property fmtid="{D5CDD505-2E9C-101B-9397-08002B2CF9AE}" pid="6" name="Year">
    <vt:lpwstr/>
  </property>
  <property fmtid="{D5CDD505-2E9C-101B-9397-08002B2CF9AE}" pid="7" name="Month">
    <vt:lpwstr/>
  </property>
  <property fmtid="{D5CDD505-2E9C-101B-9397-08002B2CF9AE}" pid="8" name="Team">
    <vt:lpwstr/>
  </property>
</Properties>
</file>